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4A0E" w14:textId="3EAF33EE" w:rsidR="00745B3F" w:rsidRPr="00745B3F" w:rsidRDefault="0064751D" w:rsidP="00745B3F">
      <w:pPr>
        <w:pStyle w:val="NormalWeb"/>
        <w:jc w:val="both"/>
        <w:rPr>
          <w:rFonts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El Grupo </w:t>
      </w:r>
      <w:r w:rsidR="008F1619">
        <w:rPr>
          <w:rFonts w:ascii="Palatino Linotype" w:hAnsi="Palatino Linotype"/>
          <w:sz w:val="22"/>
          <w:szCs w:val="22"/>
        </w:rPr>
        <w:t xml:space="preserve">Financiero </w:t>
      </w:r>
      <w:r>
        <w:rPr>
          <w:rFonts w:ascii="Palatino Linotype" w:hAnsi="Palatino Linotype"/>
          <w:sz w:val="22"/>
          <w:szCs w:val="22"/>
        </w:rPr>
        <w:t>Bolsa Nacional de Valores</w:t>
      </w:r>
      <w:r w:rsidR="00745B3F" w:rsidRPr="00C56907">
        <w:rPr>
          <w:rFonts w:ascii="Palatino Linotype" w:hAnsi="Palatino Linotype"/>
          <w:sz w:val="22"/>
          <w:szCs w:val="22"/>
        </w:rPr>
        <w:t xml:space="preserve">, con el objetivo de </w:t>
      </w:r>
      <w:r w:rsidR="00745B3F" w:rsidRPr="00C56907">
        <w:rPr>
          <w:rFonts w:ascii="Palatino Linotype" w:hAnsi="Palatino Linotype" w:cs="Arial"/>
          <w:sz w:val="22"/>
          <w:szCs w:val="22"/>
        </w:rPr>
        <w:t>asegurar la continuidad, rehabilitación y recuperación de los servicios provistos</w:t>
      </w:r>
      <w:r w:rsidR="00745B3F" w:rsidRPr="00C56907">
        <w:rPr>
          <w:rFonts w:ascii="Palatino Linotype" w:hAnsi="Palatino Linotype"/>
          <w:sz w:val="22"/>
          <w:szCs w:val="22"/>
          <w:lang w:val="es-CR" w:eastAsia="es-CR"/>
        </w:rPr>
        <w:t>, procurará</w:t>
      </w:r>
      <w:r w:rsidR="001E79C6" w:rsidRPr="00C56907">
        <w:rPr>
          <w:rFonts w:ascii="Palatino Linotype" w:hAnsi="Palatino Linotype"/>
          <w:sz w:val="22"/>
          <w:szCs w:val="22"/>
          <w:lang w:val="es-CR" w:eastAsia="es-CR"/>
        </w:rPr>
        <w:t>n</w:t>
      </w:r>
      <w:r w:rsidR="00745B3F" w:rsidRPr="00C56907">
        <w:rPr>
          <w:rFonts w:ascii="Palatino Linotype" w:hAnsi="Palatino Linotype"/>
          <w:sz w:val="22"/>
          <w:szCs w:val="22"/>
          <w:lang w:val="es-CR" w:eastAsia="es-CR"/>
        </w:rPr>
        <w:t xml:space="preserve"> para su cumplimiento:</w:t>
      </w:r>
    </w:p>
    <w:p w14:paraId="55CCD1DA" w14:textId="77777777" w:rsidR="00210E27" w:rsidRPr="007D5A2C" w:rsidRDefault="00210E27" w:rsidP="00745B3F">
      <w:pPr>
        <w:pStyle w:val="ListParagraph"/>
        <w:numPr>
          <w:ilvl w:val="0"/>
          <w:numId w:val="12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745B3F">
        <w:rPr>
          <w:rFonts w:ascii="Palatino Linotype" w:hAnsi="Palatino Linotype"/>
          <w:sz w:val="22"/>
          <w:szCs w:val="22"/>
        </w:rPr>
        <w:t xml:space="preserve">Proporcionar información oportuna ante la ocurrencia de eventos de interrupción acorde a la política de </w:t>
      </w:r>
      <w:r w:rsidRPr="007D5A2C">
        <w:rPr>
          <w:rFonts w:ascii="Palatino Linotype" w:hAnsi="Palatino Linotype"/>
          <w:sz w:val="22"/>
          <w:szCs w:val="22"/>
        </w:rPr>
        <w:t>comunicación institucional.</w:t>
      </w:r>
    </w:p>
    <w:p w14:paraId="2D9B7F13" w14:textId="77777777" w:rsidR="00210E27" w:rsidRPr="007D5A2C" w:rsidRDefault="00210E27" w:rsidP="00745B3F">
      <w:pPr>
        <w:pStyle w:val="ListParagraph"/>
        <w:numPr>
          <w:ilvl w:val="0"/>
          <w:numId w:val="12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7D5A2C">
        <w:rPr>
          <w:rFonts w:ascii="Palatino Linotype" w:hAnsi="Palatino Linotype"/>
          <w:sz w:val="22"/>
          <w:szCs w:val="22"/>
        </w:rPr>
        <w:t>Disponer de planes para la continuidad de los servicios prestados</w:t>
      </w:r>
      <w:r w:rsidR="00861AAB" w:rsidRPr="007D5A2C">
        <w:rPr>
          <w:rFonts w:ascii="Palatino Linotype" w:hAnsi="Palatino Linotype"/>
          <w:sz w:val="22"/>
          <w:szCs w:val="22"/>
        </w:rPr>
        <w:t>, según l</w:t>
      </w:r>
      <w:r w:rsidR="001E36BC" w:rsidRPr="007D5A2C">
        <w:rPr>
          <w:rFonts w:ascii="Palatino Linotype" w:hAnsi="Palatino Linotype"/>
          <w:sz w:val="22"/>
          <w:szCs w:val="22"/>
        </w:rPr>
        <w:t>os requerimientos definido</w:t>
      </w:r>
      <w:r w:rsidR="00861AAB" w:rsidRPr="007D5A2C">
        <w:rPr>
          <w:rFonts w:ascii="Palatino Linotype" w:hAnsi="Palatino Linotype"/>
          <w:sz w:val="22"/>
          <w:szCs w:val="22"/>
        </w:rPr>
        <w:t>s</w:t>
      </w:r>
      <w:r w:rsidR="00627B0B" w:rsidRPr="007D5A2C">
        <w:rPr>
          <w:rFonts w:ascii="Palatino Linotype" w:hAnsi="Palatino Linotype"/>
          <w:sz w:val="22"/>
          <w:szCs w:val="22"/>
        </w:rPr>
        <w:t xml:space="preserve"> </w:t>
      </w:r>
      <w:r w:rsidR="00861AAB" w:rsidRPr="007D5A2C">
        <w:rPr>
          <w:rFonts w:ascii="Palatino Linotype" w:hAnsi="Palatino Linotype"/>
          <w:sz w:val="22"/>
          <w:szCs w:val="22"/>
        </w:rPr>
        <w:t xml:space="preserve">como parte de </w:t>
      </w:r>
      <w:r w:rsidR="001E36BC" w:rsidRPr="007D5A2C">
        <w:rPr>
          <w:rFonts w:ascii="Palatino Linotype" w:hAnsi="Palatino Linotype"/>
          <w:sz w:val="22"/>
          <w:szCs w:val="22"/>
        </w:rPr>
        <w:t xml:space="preserve">los </w:t>
      </w:r>
      <w:r w:rsidR="00627B0B" w:rsidRPr="007D5A2C">
        <w:rPr>
          <w:rFonts w:ascii="Palatino Linotype" w:hAnsi="Palatino Linotype"/>
          <w:sz w:val="22"/>
          <w:szCs w:val="22"/>
        </w:rPr>
        <w:t>lineamiento</w:t>
      </w:r>
      <w:r w:rsidR="001E36BC" w:rsidRPr="007D5A2C">
        <w:rPr>
          <w:rFonts w:ascii="Palatino Linotype" w:hAnsi="Palatino Linotype"/>
          <w:sz w:val="22"/>
          <w:szCs w:val="22"/>
        </w:rPr>
        <w:t>s</w:t>
      </w:r>
      <w:r w:rsidR="00627B0B" w:rsidRPr="007D5A2C">
        <w:rPr>
          <w:rFonts w:ascii="Palatino Linotype" w:hAnsi="Palatino Linotype"/>
          <w:sz w:val="22"/>
          <w:szCs w:val="22"/>
        </w:rPr>
        <w:t xml:space="preserve"> </w:t>
      </w:r>
      <w:r w:rsidR="008B19B3" w:rsidRPr="007D5A2C">
        <w:rPr>
          <w:rFonts w:ascii="Palatino Linotype" w:hAnsi="Palatino Linotype"/>
          <w:sz w:val="22"/>
          <w:szCs w:val="22"/>
        </w:rPr>
        <w:t xml:space="preserve">para </w:t>
      </w:r>
      <w:r w:rsidR="00627B0B" w:rsidRPr="007D5A2C">
        <w:rPr>
          <w:rFonts w:ascii="Palatino Linotype" w:hAnsi="Palatino Linotype"/>
          <w:sz w:val="22"/>
          <w:szCs w:val="22"/>
        </w:rPr>
        <w:t>la continuidad del negocio</w:t>
      </w:r>
      <w:r w:rsidR="001E36BC" w:rsidRPr="007D5A2C">
        <w:rPr>
          <w:rFonts w:ascii="Palatino Linotype" w:hAnsi="Palatino Linotype"/>
          <w:sz w:val="22"/>
          <w:szCs w:val="22"/>
        </w:rPr>
        <w:t>.</w:t>
      </w:r>
    </w:p>
    <w:p w14:paraId="4166BE70" w14:textId="77777777" w:rsidR="00210E27" w:rsidRPr="007D5A2C" w:rsidRDefault="00210E27" w:rsidP="00745B3F">
      <w:pPr>
        <w:pStyle w:val="ListParagraph"/>
        <w:numPr>
          <w:ilvl w:val="0"/>
          <w:numId w:val="12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7D5A2C">
        <w:rPr>
          <w:rFonts w:ascii="Palatino Linotype" w:hAnsi="Palatino Linotype"/>
          <w:sz w:val="22"/>
          <w:szCs w:val="22"/>
        </w:rPr>
        <w:t>Aplicar ejercicios que permitan garantizar la eficacia y óptimo desempeño de los planes de continuidad</w:t>
      </w:r>
      <w:r w:rsidR="00A54C55" w:rsidRPr="007D5A2C">
        <w:rPr>
          <w:rFonts w:ascii="Palatino Linotype" w:hAnsi="Palatino Linotype"/>
          <w:sz w:val="22"/>
          <w:szCs w:val="22"/>
        </w:rPr>
        <w:t xml:space="preserve">, establecidos mediante </w:t>
      </w:r>
      <w:r w:rsidR="00786F36" w:rsidRPr="007D5A2C">
        <w:rPr>
          <w:rFonts w:ascii="Palatino Linotype" w:hAnsi="Palatino Linotype"/>
          <w:sz w:val="22"/>
          <w:szCs w:val="22"/>
        </w:rPr>
        <w:t xml:space="preserve">una agenda </w:t>
      </w:r>
      <w:r w:rsidR="00416FF1" w:rsidRPr="007D5A2C">
        <w:rPr>
          <w:rFonts w:ascii="Palatino Linotype" w:hAnsi="Palatino Linotype"/>
          <w:sz w:val="22"/>
          <w:szCs w:val="22"/>
        </w:rPr>
        <w:t xml:space="preserve">anual </w:t>
      </w:r>
      <w:r w:rsidR="00A54C55" w:rsidRPr="007D5A2C">
        <w:rPr>
          <w:rFonts w:ascii="Palatino Linotype" w:hAnsi="Palatino Linotype"/>
          <w:sz w:val="22"/>
          <w:szCs w:val="22"/>
        </w:rPr>
        <w:t>aprobada</w:t>
      </w:r>
      <w:r w:rsidR="00FB04EE" w:rsidRPr="007D5A2C">
        <w:rPr>
          <w:rFonts w:ascii="Palatino Linotype" w:hAnsi="Palatino Linotype"/>
          <w:sz w:val="22"/>
          <w:szCs w:val="22"/>
        </w:rPr>
        <w:t xml:space="preserve"> según </w:t>
      </w:r>
      <w:r w:rsidR="00786F36" w:rsidRPr="007D5A2C">
        <w:rPr>
          <w:rFonts w:ascii="Palatino Linotype" w:hAnsi="Palatino Linotype"/>
          <w:sz w:val="22"/>
          <w:szCs w:val="22"/>
        </w:rPr>
        <w:t>los lineamientos para la continuidad del negocio,</w:t>
      </w:r>
      <w:r w:rsidR="00A54C55" w:rsidRPr="007D5A2C">
        <w:rPr>
          <w:rFonts w:ascii="Palatino Linotype" w:hAnsi="Palatino Linotype"/>
          <w:sz w:val="22"/>
          <w:szCs w:val="22"/>
        </w:rPr>
        <w:t xml:space="preserve"> con criterios </w:t>
      </w:r>
      <w:r w:rsidR="00786F36" w:rsidRPr="007D5A2C">
        <w:rPr>
          <w:rFonts w:ascii="Palatino Linotype" w:hAnsi="Palatino Linotype"/>
          <w:sz w:val="22"/>
          <w:szCs w:val="22"/>
        </w:rPr>
        <w:t>para su elaboración</w:t>
      </w:r>
      <w:r w:rsidR="006C31B3" w:rsidRPr="007D5A2C">
        <w:rPr>
          <w:rFonts w:ascii="Palatino Linotype" w:hAnsi="Palatino Linotype"/>
          <w:sz w:val="22"/>
          <w:szCs w:val="22"/>
        </w:rPr>
        <w:t xml:space="preserve"> </w:t>
      </w:r>
      <w:r w:rsidR="00A54C55" w:rsidRPr="007D5A2C">
        <w:rPr>
          <w:rFonts w:ascii="Palatino Linotype" w:hAnsi="Palatino Linotype"/>
          <w:sz w:val="22"/>
          <w:szCs w:val="22"/>
        </w:rPr>
        <w:t>basados en los tipos de pruebas y ejercicios realizables establecidos en el plan de continuidad del negocio</w:t>
      </w:r>
      <w:r w:rsidR="00786F36" w:rsidRPr="007D5A2C">
        <w:rPr>
          <w:rFonts w:ascii="Palatino Linotype" w:hAnsi="Palatino Linotype"/>
          <w:sz w:val="22"/>
          <w:szCs w:val="22"/>
        </w:rPr>
        <w:t>.</w:t>
      </w:r>
    </w:p>
    <w:p w14:paraId="1DA4B3EB" w14:textId="77777777" w:rsidR="00416FF1" w:rsidRPr="007D5A2C" w:rsidRDefault="00210E27" w:rsidP="00416FF1">
      <w:pPr>
        <w:pStyle w:val="ListParagraph"/>
        <w:numPr>
          <w:ilvl w:val="0"/>
          <w:numId w:val="12"/>
        </w:numPr>
        <w:contextualSpacing/>
        <w:jc w:val="both"/>
        <w:rPr>
          <w:rFonts w:ascii="Palatino Linotype" w:hAnsi="Palatino Linotype"/>
          <w:sz w:val="22"/>
          <w:szCs w:val="22"/>
        </w:rPr>
      </w:pPr>
      <w:r w:rsidRPr="007D5A2C">
        <w:rPr>
          <w:rFonts w:ascii="Palatino Linotype" w:hAnsi="Palatino Linotype"/>
          <w:sz w:val="22"/>
          <w:szCs w:val="22"/>
        </w:rPr>
        <w:t>Aplicar los principios de mejora continua en la estructura de gestión de continuidad del negocio según los estándares vigentes</w:t>
      </w:r>
      <w:r w:rsidR="00FB04EE" w:rsidRPr="007D5A2C">
        <w:rPr>
          <w:rFonts w:ascii="Palatino Linotype" w:hAnsi="Palatino Linotype"/>
          <w:sz w:val="22"/>
          <w:szCs w:val="22"/>
        </w:rPr>
        <w:t>, incluyendo los resultados de los ejercicios y pruebas desarrollados, las revisiones por parte de los comités responsable</w:t>
      </w:r>
      <w:r w:rsidR="00F65AB7" w:rsidRPr="007D5A2C">
        <w:rPr>
          <w:rFonts w:ascii="Palatino Linotype" w:hAnsi="Palatino Linotype"/>
          <w:sz w:val="22"/>
          <w:szCs w:val="22"/>
        </w:rPr>
        <w:t>s</w:t>
      </w:r>
      <w:r w:rsidR="00FB04EE" w:rsidRPr="007D5A2C">
        <w:rPr>
          <w:rFonts w:ascii="Palatino Linotype" w:hAnsi="Palatino Linotype"/>
          <w:sz w:val="22"/>
          <w:szCs w:val="22"/>
        </w:rPr>
        <w:t xml:space="preserve"> y de evaluaciones realizadas por terceros, que permitan fortalecer las actividades </w:t>
      </w:r>
      <w:r w:rsidR="00861AAB" w:rsidRPr="007D5A2C">
        <w:rPr>
          <w:rFonts w:ascii="Palatino Linotype" w:hAnsi="Palatino Linotype"/>
          <w:sz w:val="22"/>
          <w:szCs w:val="22"/>
        </w:rPr>
        <w:t xml:space="preserve">establecidas </w:t>
      </w:r>
      <w:r w:rsidR="00FB04EE" w:rsidRPr="007D5A2C">
        <w:rPr>
          <w:rFonts w:ascii="Palatino Linotype" w:hAnsi="Palatino Linotype"/>
          <w:sz w:val="22"/>
          <w:szCs w:val="22"/>
        </w:rPr>
        <w:t xml:space="preserve">en los </w:t>
      </w:r>
      <w:r w:rsidR="00861AAB" w:rsidRPr="007D5A2C">
        <w:rPr>
          <w:rFonts w:ascii="Palatino Linotype" w:hAnsi="Palatino Linotype"/>
          <w:sz w:val="22"/>
          <w:szCs w:val="22"/>
        </w:rPr>
        <w:t xml:space="preserve">diferentes </w:t>
      </w:r>
      <w:r w:rsidR="00FB04EE" w:rsidRPr="007D5A2C">
        <w:rPr>
          <w:rFonts w:ascii="Palatino Linotype" w:hAnsi="Palatino Linotype"/>
          <w:sz w:val="22"/>
          <w:szCs w:val="22"/>
        </w:rPr>
        <w:t>planes</w:t>
      </w:r>
      <w:r w:rsidR="00861AAB" w:rsidRPr="007D5A2C">
        <w:rPr>
          <w:rFonts w:ascii="Palatino Linotype" w:hAnsi="Palatino Linotype"/>
          <w:sz w:val="22"/>
          <w:szCs w:val="22"/>
        </w:rPr>
        <w:t xml:space="preserve">, acorde a lo definido en </w:t>
      </w:r>
      <w:r w:rsidR="00F65AB7" w:rsidRPr="007D5A2C">
        <w:rPr>
          <w:rFonts w:ascii="Palatino Linotype" w:hAnsi="Palatino Linotype"/>
          <w:sz w:val="22"/>
          <w:szCs w:val="22"/>
        </w:rPr>
        <w:t>el plan de continuidad del negocio.</w:t>
      </w:r>
    </w:p>
    <w:p w14:paraId="5297010E" w14:textId="77777777" w:rsidR="00210E27" w:rsidRPr="007D5A2C" w:rsidRDefault="00210E27" w:rsidP="00416FF1">
      <w:pPr>
        <w:ind w:left="360"/>
        <w:contextualSpacing/>
        <w:jc w:val="both"/>
        <w:rPr>
          <w:rFonts w:ascii="Palatino Linotype" w:hAnsi="Palatino Linotype"/>
          <w:sz w:val="22"/>
          <w:szCs w:val="22"/>
        </w:rPr>
      </w:pPr>
    </w:p>
    <w:p w14:paraId="06106941" w14:textId="77777777" w:rsidR="00745B3F" w:rsidRPr="00A7130A" w:rsidRDefault="00745B3F" w:rsidP="00745B3F">
      <w:pPr>
        <w:rPr>
          <w:rFonts w:ascii="Palatino Linotype" w:hAnsi="Palatino Linotype"/>
        </w:rPr>
      </w:pPr>
    </w:p>
    <w:p w14:paraId="3EA29D0F" w14:textId="77777777" w:rsidR="00745B3F" w:rsidRPr="00745B3F" w:rsidRDefault="00745B3F" w:rsidP="00745B3F">
      <w:pPr>
        <w:rPr>
          <w:rFonts w:ascii="Palatino Linotype" w:hAnsi="Palatino Linotype"/>
          <w:b/>
          <w:sz w:val="22"/>
        </w:rPr>
      </w:pPr>
      <w:r w:rsidRPr="00745B3F">
        <w:rPr>
          <w:rFonts w:ascii="Palatino Linotype" w:hAnsi="Palatino Linotype"/>
          <w:b/>
          <w:sz w:val="22"/>
        </w:rPr>
        <w:t>DOCUMENTOS DE REFERENCIA</w:t>
      </w:r>
    </w:p>
    <w:p w14:paraId="7F7015FF" w14:textId="77777777" w:rsidR="00745B3F" w:rsidRPr="00D408BF" w:rsidRDefault="00745B3F" w:rsidP="00745B3F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154"/>
      </w:tblGrid>
      <w:tr w:rsidR="00745B3F" w:rsidRPr="00C90EFD" w14:paraId="0C481589" w14:textId="77777777" w:rsidTr="0000266D">
        <w:trPr>
          <w:trHeight w:val="213"/>
        </w:trPr>
        <w:tc>
          <w:tcPr>
            <w:tcW w:w="5245" w:type="dxa"/>
            <w:shd w:val="clear" w:color="auto" w:fill="BFBFBF" w:themeFill="background1" w:themeFillShade="BF"/>
          </w:tcPr>
          <w:p w14:paraId="0A08D7C5" w14:textId="77777777" w:rsidR="00745B3F" w:rsidRPr="00606434" w:rsidRDefault="00745B3F" w:rsidP="006B2CD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434">
              <w:rPr>
                <w:rFonts w:ascii="Palatino Linotype" w:hAnsi="Palatino Linotype"/>
                <w:b/>
                <w:sz w:val="18"/>
                <w:szCs w:val="18"/>
              </w:rPr>
              <w:t>Documento</w:t>
            </w:r>
          </w:p>
        </w:tc>
        <w:tc>
          <w:tcPr>
            <w:tcW w:w="4154" w:type="dxa"/>
            <w:shd w:val="clear" w:color="auto" w:fill="BFBFBF" w:themeFill="background1" w:themeFillShade="BF"/>
          </w:tcPr>
          <w:p w14:paraId="104A450F" w14:textId="77777777" w:rsidR="00745B3F" w:rsidRPr="00606434" w:rsidRDefault="00745B3F" w:rsidP="006B2CD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606434">
              <w:rPr>
                <w:rFonts w:ascii="Palatino Linotype" w:hAnsi="Palatino Linotype"/>
                <w:b/>
                <w:sz w:val="18"/>
                <w:szCs w:val="18"/>
              </w:rPr>
              <w:t>Aprobación</w:t>
            </w:r>
          </w:p>
        </w:tc>
      </w:tr>
      <w:tr w:rsidR="00745B3F" w:rsidRPr="00C56907" w14:paraId="360B16E1" w14:textId="77777777" w:rsidTr="0000266D">
        <w:trPr>
          <w:trHeight w:val="199"/>
        </w:trPr>
        <w:tc>
          <w:tcPr>
            <w:tcW w:w="5245" w:type="dxa"/>
            <w:vAlign w:val="center"/>
          </w:tcPr>
          <w:p w14:paraId="446EEE61" w14:textId="77777777" w:rsidR="00745B3F" w:rsidRPr="00C56907" w:rsidRDefault="00745B3F" w:rsidP="006B2CDC">
            <w:pPr>
              <w:pStyle w:val="NormalWeb"/>
              <w:jc w:val="both"/>
              <w:rPr>
                <w:lang w:val="en-US"/>
              </w:rPr>
            </w:pPr>
            <w:r w:rsidRPr="00C56907"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n-US" w:eastAsia="es-CR"/>
              </w:rPr>
              <w:t>ISO 22301:2012 Societal security – Business continuity management systems - Requirements</w:t>
            </w:r>
          </w:p>
        </w:tc>
        <w:tc>
          <w:tcPr>
            <w:tcW w:w="4154" w:type="dxa"/>
            <w:vAlign w:val="center"/>
          </w:tcPr>
          <w:p w14:paraId="6EBBCF42" w14:textId="77777777" w:rsidR="00745B3F" w:rsidRPr="00C56907" w:rsidRDefault="00745B3F" w:rsidP="006B2CDC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 xml:space="preserve">International </w:t>
            </w:r>
            <w:proofErr w:type="spellStart"/>
            <w:r w:rsidRPr="00C56907">
              <w:rPr>
                <w:rFonts w:ascii="Palatino Linotype" w:hAnsi="Palatino Linotype"/>
                <w:sz w:val="18"/>
                <w:szCs w:val="18"/>
              </w:rPr>
              <w:t>Organization</w:t>
            </w:r>
            <w:proofErr w:type="spellEnd"/>
            <w:r w:rsidRPr="00C5690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C56907">
              <w:rPr>
                <w:rFonts w:ascii="Palatino Linotype" w:hAnsi="Palatino Linotype"/>
                <w:sz w:val="18"/>
                <w:szCs w:val="18"/>
              </w:rPr>
              <w:t>for</w:t>
            </w:r>
            <w:proofErr w:type="spellEnd"/>
            <w:r w:rsidRPr="00C5690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proofErr w:type="spellStart"/>
            <w:r w:rsidRPr="00C56907">
              <w:rPr>
                <w:rFonts w:ascii="Palatino Linotype" w:hAnsi="Palatino Linotype"/>
                <w:sz w:val="18"/>
                <w:szCs w:val="18"/>
              </w:rPr>
              <w:t>Standardization</w:t>
            </w:r>
            <w:proofErr w:type="spellEnd"/>
          </w:p>
        </w:tc>
      </w:tr>
      <w:tr w:rsidR="00DC10D0" w:rsidRPr="00C56907" w14:paraId="4332565F" w14:textId="77777777" w:rsidTr="0000266D">
        <w:trPr>
          <w:trHeight w:val="199"/>
        </w:trPr>
        <w:tc>
          <w:tcPr>
            <w:tcW w:w="5245" w:type="dxa"/>
            <w:vAlign w:val="center"/>
          </w:tcPr>
          <w:p w14:paraId="5C5F22EB" w14:textId="2FA1C828" w:rsidR="00DC10D0" w:rsidRPr="00C56907" w:rsidRDefault="00DC10D0" w:rsidP="00DC10D0">
            <w:pPr>
              <w:pStyle w:val="NormalWeb"/>
              <w:jc w:val="both"/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</w:pPr>
            <w:r w:rsidRPr="00C56907"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  <w:t>Plan de Continuidad del Negocio</w:t>
            </w:r>
          </w:p>
        </w:tc>
        <w:tc>
          <w:tcPr>
            <w:tcW w:w="4154" w:type="dxa"/>
            <w:vAlign w:val="center"/>
          </w:tcPr>
          <w:p w14:paraId="48CB8822" w14:textId="70B6946F" w:rsidR="00DC10D0" w:rsidRPr="00C56907" w:rsidRDefault="00DC10D0" w:rsidP="00DC10D0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Junta Directiva</w:t>
            </w:r>
          </w:p>
        </w:tc>
      </w:tr>
      <w:tr w:rsidR="00DC10D0" w:rsidRPr="00C56907" w14:paraId="327FC894" w14:textId="77777777" w:rsidTr="0000266D">
        <w:trPr>
          <w:trHeight w:val="199"/>
        </w:trPr>
        <w:tc>
          <w:tcPr>
            <w:tcW w:w="5245" w:type="dxa"/>
            <w:vAlign w:val="center"/>
          </w:tcPr>
          <w:p w14:paraId="627991F9" w14:textId="4197A386" w:rsidR="00DC10D0" w:rsidRPr="00C56907" w:rsidRDefault="00DC10D0" w:rsidP="00DC10D0">
            <w:pPr>
              <w:pStyle w:val="NormalWeb"/>
              <w:jc w:val="both"/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</w:pPr>
            <w:r w:rsidRPr="00C56907"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  <w:t>Lineamientos para la Continuidad del Negocio</w:t>
            </w:r>
          </w:p>
        </w:tc>
        <w:tc>
          <w:tcPr>
            <w:tcW w:w="4154" w:type="dxa"/>
            <w:vAlign w:val="center"/>
          </w:tcPr>
          <w:p w14:paraId="6CE1EE4C" w14:textId="40705205" w:rsidR="00DC10D0" w:rsidRPr="00C56907" w:rsidRDefault="00DC10D0" w:rsidP="00DC10D0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Comité de Riesgos</w:t>
            </w:r>
          </w:p>
        </w:tc>
      </w:tr>
      <w:tr w:rsidR="00DC10D0" w:rsidRPr="00C90EFD" w14:paraId="181FACC2" w14:textId="77777777" w:rsidTr="0000266D">
        <w:trPr>
          <w:trHeight w:val="199"/>
        </w:trPr>
        <w:tc>
          <w:tcPr>
            <w:tcW w:w="5245" w:type="dxa"/>
            <w:vAlign w:val="center"/>
          </w:tcPr>
          <w:p w14:paraId="7C22A2D7" w14:textId="6C43D4CB" w:rsidR="00DC10D0" w:rsidRPr="00C56907" w:rsidRDefault="00DC10D0" w:rsidP="00DC10D0">
            <w:pPr>
              <w:pStyle w:val="NormalWeb"/>
              <w:jc w:val="both"/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</w:pPr>
            <w:r w:rsidRPr="00C56907">
              <w:rPr>
                <w:rFonts w:ascii="Palatino Linotype" w:eastAsiaTheme="minorHAnsi" w:hAnsi="Palatino Linotype" w:cstheme="minorBidi"/>
                <w:i/>
                <w:sz w:val="18"/>
                <w:szCs w:val="18"/>
                <w:lang w:val="es-CR" w:eastAsia="es-CR"/>
              </w:rPr>
              <w:t>Cronograma de actividades</w:t>
            </w:r>
          </w:p>
        </w:tc>
        <w:tc>
          <w:tcPr>
            <w:tcW w:w="4154" w:type="dxa"/>
            <w:vAlign w:val="center"/>
          </w:tcPr>
          <w:p w14:paraId="57CE159A" w14:textId="77777777" w:rsidR="00DC10D0" w:rsidRPr="00C56907" w:rsidRDefault="00DC10D0" w:rsidP="00DC10D0">
            <w:pPr>
              <w:pStyle w:val="NormalWeb"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Comité de Riesgos</w:t>
            </w:r>
          </w:p>
        </w:tc>
      </w:tr>
    </w:tbl>
    <w:p w14:paraId="123352F7" w14:textId="77777777" w:rsidR="00745B3F" w:rsidRPr="00A7130A" w:rsidRDefault="00745B3F" w:rsidP="00745B3F">
      <w:pPr>
        <w:rPr>
          <w:rFonts w:ascii="Palatino Linotype" w:hAnsi="Palatino Linotype"/>
        </w:rPr>
      </w:pPr>
    </w:p>
    <w:p w14:paraId="560281F4" w14:textId="77777777" w:rsidR="00745B3F" w:rsidRDefault="00745B3F" w:rsidP="00745B3F">
      <w:pPr>
        <w:pStyle w:val="Heading1"/>
        <w:jc w:val="left"/>
        <w:rPr>
          <w:rFonts w:ascii="Palatino Linotype" w:hAnsi="Palatino Linotype"/>
          <w:sz w:val="22"/>
          <w:szCs w:val="22"/>
        </w:rPr>
      </w:pPr>
    </w:p>
    <w:p w14:paraId="39405EA2" w14:textId="77777777" w:rsidR="00745B3F" w:rsidRDefault="00745B3F" w:rsidP="00745B3F">
      <w:pPr>
        <w:pStyle w:val="Heading1"/>
        <w:jc w:val="left"/>
        <w:rPr>
          <w:rFonts w:ascii="Palatino Linotype" w:hAnsi="Palatino Linotype"/>
          <w:sz w:val="22"/>
          <w:szCs w:val="22"/>
        </w:rPr>
      </w:pPr>
      <w:r w:rsidRPr="00A7130A">
        <w:rPr>
          <w:rFonts w:ascii="Palatino Linotype" w:hAnsi="Palatino Linotype"/>
          <w:sz w:val="22"/>
          <w:szCs w:val="22"/>
        </w:rPr>
        <w:t>HISTORIAL DE REVISIÓN</w:t>
      </w:r>
    </w:p>
    <w:p w14:paraId="757B4364" w14:textId="77777777" w:rsidR="00745B3F" w:rsidRPr="00745B3F" w:rsidRDefault="00745B3F" w:rsidP="00745B3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6520"/>
        <w:gridCol w:w="1886"/>
      </w:tblGrid>
      <w:tr w:rsidR="00745B3F" w:rsidRPr="00DC45C8" w14:paraId="22F20BC0" w14:textId="77777777" w:rsidTr="00553D76">
        <w:tc>
          <w:tcPr>
            <w:tcW w:w="993" w:type="dxa"/>
            <w:shd w:val="clear" w:color="auto" w:fill="BFBFBF" w:themeFill="background1" w:themeFillShade="BF"/>
          </w:tcPr>
          <w:p w14:paraId="14D54BAA" w14:textId="77777777" w:rsidR="00745B3F" w:rsidRPr="00DC45C8" w:rsidRDefault="00745B3F" w:rsidP="006B2CD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C45C8">
              <w:rPr>
                <w:rFonts w:ascii="Palatino Linotype" w:hAnsi="Palatino Linotype"/>
                <w:b/>
                <w:sz w:val="18"/>
                <w:szCs w:val="18"/>
              </w:rPr>
              <w:t>Versión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14:paraId="55C487CE" w14:textId="77777777" w:rsidR="00745B3F" w:rsidRPr="00DC45C8" w:rsidRDefault="00745B3F" w:rsidP="006B2CD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C45C8">
              <w:rPr>
                <w:rFonts w:ascii="Palatino Linotype" w:hAnsi="Palatino Linotype"/>
                <w:b/>
                <w:sz w:val="18"/>
                <w:szCs w:val="18"/>
              </w:rPr>
              <w:t>Descripción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14:paraId="6F9ADBE0" w14:textId="77777777" w:rsidR="00745B3F" w:rsidRPr="00DC45C8" w:rsidRDefault="00745B3F" w:rsidP="006B2CDC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C45C8">
              <w:rPr>
                <w:rFonts w:ascii="Palatino Linotype" w:hAnsi="Palatino Linotype"/>
                <w:b/>
                <w:sz w:val="18"/>
                <w:szCs w:val="18"/>
              </w:rPr>
              <w:t>Fecha de Revisión</w:t>
            </w:r>
          </w:p>
        </w:tc>
      </w:tr>
      <w:tr w:rsidR="00745B3F" w:rsidRPr="00DC45C8" w14:paraId="203EE33A" w14:textId="77777777" w:rsidTr="00553D76">
        <w:tc>
          <w:tcPr>
            <w:tcW w:w="993" w:type="dxa"/>
            <w:vAlign w:val="center"/>
          </w:tcPr>
          <w:p w14:paraId="3AB98377" w14:textId="77777777" w:rsidR="00745B3F" w:rsidRPr="00176DD2" w:rsidRDefault="00745B3F" w:rsidP="006B2CD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76DD2">
              <w:rPr>
                <w:rFonts w:ascii="Palatino Linotype" w:hAnsi="Palatino Linotype"/>
                <w:sz w:val="18"/>
                <w:szCs w:val="18"/>
              </w:rPr>
              <w:t xml:space="preserve">1.0 </w:t>
            </w:r>
          </w:p>
        </w:tc>
        <w:tc>
          <w:tcPr>
            <w:tcW w:w="6520" w:type="dxa"/>
            <w:vAlign w:val="center"/>
          </w:tcPr>
          <w:p w14:paraId="79F54757" w14:textId="77777777" w:rsidR="00745B3F" w:rsidRPr="00176DD2" w:rsidRDefault="00745B3F" w:rsidP="006B2CDC">
            <w:pPr>
              <w:rPr>
                <w:rFonts w:ascii="Palatino Linotype" w:hAnsi="Palatino Linotype"/>
                <w:sz w:val="18"/>
                <w:szCs w:val="18"/>
              </w:rPr>
            </w:pPr>
            <w:r w:rsidRPr="00176DD2">
              <w:rPr>
                <w:rFonts w:ascii="Palatino Linotype" w:hAnsi="Palatino Linotype"/>
                <w:sz w:val="18"/>
                <w:szCs w:val="18"/>
              </w:rPr>
              <w:t xml:space="preserve">Aprobado por Junta Directiva </w:t>
            </w:r>
            <w:r w:rsidR="001E79C6" w:rsidRPr="00176DD2">
              <w:rPr>
                <w:rFonts w:ascii="Palatino Linotype" w:hAnsi="Palatino Linotype"/>
                <w:sz w:val="18"/>
                <w:szCs w:val="18"/>
              </w:rPr>
              <w:t>de BNV</w:t>
            </w:r>
            <w:r w:rsidR="00EB0AB6" w:rsidRPr="00176DD2">
              <w:rPr>
                <w:rFonts w:ascii="Palatino Linotype" w:hAnsi="Palatino Linotype"/>
                <w:sz w:val="18"/>
                <w:szCs w:val="18"/>
              </w:rPr>
              <w:t>. Sesión # 11/2016, artículo 4.3.</w:t>
            </w:r>
          </w:p>
        </w:tc>
        <w:tc>
          <w:tcPr>
            <w:tcW w:w="1886" w:type="dxa"/>
            <w:vAlign w:val="center"/>
          </w:tcPr>
          <w:p w14:paraId="51BED003" w14:textId="77777777" w:rsidR="00745B3F" w:rsidRPr="00DC45C8" w:rsidRDefault="00004C5E" w:rsidP="006B2CDC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</w:t>
            </w:r>
            <w:r w:rsidR="00EB0AB6">
              <w:rPr>
                <w:rFonts w:ascii="Palatino Linotype" w:hAnsi="Palatino Linotype"/>
                <w:sz w:val="18"/>
                <w:szCs w:val="18"/>
              </w:rPr>
              <w:t>/11/2016</w:t>
            </w:r>
          </w:p>
        </w:tc>
      </w:tr>
      <w:tr w:rsidR="001E79C6" w:rsidRPr="00DC45C8" w14:paraId="501119FF" w14:textId="77777777" w:rsidTr="00553D76">
        <w:tc>
          <w:tcPr>
            <w:tcW w:w="993" w:type="dxa"/>
            <w:vAlign w:val="center"/>
          </w:tcPr>
          <w:p w14:paraId="279FDD45" w14:textId="77777777" w:rsidR="001E79C6" w:rsidRPr="00176DD2" w:rsidRDefault="001E79C6" w:rsidP="001E79C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176DD2">
              <w:rPr>
                <w:rFonts w:ascii="Palatino Linotype" w:hAnsi="Palatino Linotype"/>
                <w:sz w:val="18"/>
                <w:szCs w:val="18"/>
              </w:rPr>
              <w:t xml:space="preserve">1.0 </w:t>
            </w:r>
          </w:p>
        </w:tc>
        <w:tc>
          <w:tcPr>
            <w:tcW w:w="6520" w:type="dxa"/>
            <w:vAlign w:val="center"/>
          </w:tcPr>
          <w:p w14:paraId="3AF8788F" w14:textId="77777777" w:rsidR="001E79C6" w:rsidRPr="00176DD2" w:rsidRDefault="001E79C6" w:rsidP="001E79C6">
            <w:pPr>
              <w:rPr>
                <w:rFonts w:ascii="Palatino Linotype" w:hAnsi="Palatino Linotype"/>
                <w:sz w:val="18"/>
                <w:szCs w:val="18"/>
              </w:rPr>
            </w:pPr>
            <w:r w:rsidRPr="00176DD2">
              <w:rPr>
                <w:rFonts w:ascii="Palatino Linotype" w:hAnsi="Palatino Linotype"/>
                <w:sz w:val="18"/>
                <w:szCs w:val="18"/>
              </w:rPr>
              <w:t xml:space="preserve">Aprobado por Junta Directiva de </w:t>
            </w:r>
            <w:r w:rsidR="002F5FD4" w:rsidRPr="00176DD2">
              <w:rPr>
                <w:rFonts w:ascii="Palatino Linotype" w:hAnsi="Palatino Linotype"/>
                <w:sz w:val="18"/>
                <w:szCs w:val="18"/>
              </w:rPr>
              <w:t>InterClear</w:t>
            </w:r>
            <w:r w:rsidR="00EB0AB6" w:rsidRPr="00176DD2">
              <w:rPr>
                <w:rFonts w:ascii="Palatino Linotype" w:hAnsi="Palatino Linotype"/>
                <w:sz w:val="18"/>
                <w:szCs w:val="18"/>
              </w:rPr>
              <w:t>. Acta # 09/2017, artículo 4.1</w:t>
            </w:r>
          </w:p>
        </w:tc>
        <w:tc>
          <w:tcPr>
            <w:tcW w:w="1886" w:type="dxa"/>
            <w:vAlign w:val="center"/>
          </w:tcPr>
          <w:p w14:paraId="6935CD47" w14:textId="77777777" w:rsidR="002F5FD4" w:rsidRPr="00DC45C8" w:rsidRDefault="001E79C6" w:rsidP="00EB0AB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</w:t>
            </w:r>
            <w:r w:rsidR="002F5FD4">
              <w:rPr>
                <w:rFonts w:ascii="Palatino Linotype" w:hAnsi="Palatino Linotype"/>
                <w:sz w:val="18"/>
                <w:szCs w:val="18"/>
              </w:rPr>
              <w:t>8</w:t>
            </w:r>
            <w:r w:rsidR="00EB0AB6">
              <w:rPr>
                <w:rFonts w:ascii="Palatino Linotype" w:hAnsi="Palatino Linotype"/>
                <w:sz w:val="18"/>
                <w:szCs w:val="18"/>
              </w:rPr>
              <w:t>/10/</w:t>
            </w:r>
            <w:r w:rsidRPr="178A27F2">
              <w:rPr>
                <w:rFonts w:ascii="Palatino Linotype" w:hAnsi="Palatino Linotype"/>
                <w:sz w:val="18"/>
                <w:szCs w:val="18"/>
              </w:rPr>
              <w:t>201</w:t>
            </w:r>
            <w:r w:rsidR="002F5FD4"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</w:tr>
      <w:tr w:rsidR="001E79C6" w:rsidRPr="00C56907" w14:paraId="5F35ED1F" w14:textId="77777777" w:rsidTr="00553D76">
        <w:tc>
          <w:tcPr>
            <w:tcW w:w="993" w:type="dxa"/>
            <w:vAlign w:val="center"/>
          </w:tcPr>
          <w:p w14:paraId="3B1F397B" w14:textId="77777777" w:rsidR="001E79C6" w:rsidRPr="00C56907" w:rsidRDefault="009223E5" w:rsidP="001E79C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2.0</w:t>
            </w:r>
          </w:p>
        </w:tc>
        <w:tc>
          <w:tcPr>
            <w:tcW w:w="6520" w:type="dxa"/>
            <w:vAlign w:val="center"/>
          </w:tcPr>
          <w:p w14:paraId="37ED0877" w14:textId="77777777" w:rsidR="001E79C6" w:rsidRPr="00C56907" w:rsidRDefault="009223E5" w:rsidP="001E79C6">
            <w:pPr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Revisión de política</w:t>
            </w:r>
            <w:r w:rsidR="00EB0AB6" w:rsidRPr="00C56907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r w:rsidRPr="00C56907">
              <w:rPr>
                <w:rFonts w:ascii="Palatino Linotype" w:hAnsi="Palatino Linotype"/>
                <w:sz w:val="18"/>
                <w:szCs w:val="18"/>
              </w:rPr>
              <w:t>ajuste de formato</w:t>
            </w:r>
            <w:r w:rsidR="00EB0AB6" w:rsidRPr="00C56907">
              <w:rPr>
                <w:rFonts w:ascii="Palatino Linotype" w:hAnsi="Palatino Linotype"/>
                <w:sz w:val="18"/>
                <w:szCs w:val="18"/>
              </w:rPr>
              <w:t xml:space="preserve"> y contenido. Se agrega referencia a lineamientos del Sistema de Gestión</w:t>
            </w:r>
          </w:p>
        </w:tc>
        <w:tc>
          <w:tcPr>
            <w:tcW w:w="1886" w:type="dxa"/>
            <w:vAlign w:val="center"/>
          </w:tcPr>
          <w:p w14:paraId="1B6A7C79" w14:textId="77777777" w:rsidR="001E79C6" w:rsidRPr="00C56907" w:rsidRDefault="00EB0AB6" w:rsidP="001E79C6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16/10/2019</w:t>
            </w:r>
          </w:p>
        </w:tc>
      </w:tr>
      <w:tr w:rsidR="00397BB1" w:rsidRPr="00C56907" w14:paraId="606840E1" w14:textId="77777777" w:rsidTr="00553D76">
        <w:tc>
          <w:tcPr>
            <w:tcW w:w="993" w:type="dxa"/>
            <w:vAlign w:val="center"/>
          </w:tcPr>
          <w:p w14:paraId="32D69CD3" w14:textId="77777777" w:rsidR="00397BB1" w:rsidRPr="00C56907" w:rsidRDefault="00397BB1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2.0</w:t>
            </w:r>
          </w:p>
        </w:tc>
        <w:tc>
          <w:tcPr>
            <w:tcW w:w="6520" w:type="dxa"/>
            <w:vAlign w:val="center"/>
          </w:tcPr>
          <w:p w14:paraId="6E4B06F8" w14:textId="77777777" w:rsidR="00397BB1" w:rsidRPr="00C56907" w:rsidRDefault="00397BB1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Ajuste al contenido de las pautas, detallando cómo se cumplen los aspectos señalados</w:t>
            </w:r>
          </w:p>
        </w:tc>
        <w:tc>
          <w:tcPr>
            <w:tcW w:w="1886" w:type="dxa"/>
            <w:vAlign w:val="center"/>
          </w:tcPr>
          <w:p w14:paraId="4F573A66" w14:textId="77777777" w:rsidR="00397BB1" w:rsidRPr="00C56907" w:rsidRDefault="00397BB1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18/12/2019</w:t>
            </w:r>
          </w:p>
        </w:tc>
      </w:tr>
      <w:tr w:rsidR="00BD51AD" w:rsidRPr="00C56907" w14:paraId="6E563BB1" w14:textId="77777777" w:rsidTr="00553D76">
        <w:tc>
          <w:tcPr>
            <w:tcW w:w="993" w:type="dxa"/>
            <w:vAlign w:val="center"/>
          </w:tcPr>
          <w:p w14:paraId="1A8DF22C" w14:textId="77777777" w:rsidR="00BD51AD" w:rsidRPr="00C56907" w:rsidRDefault="00BD51AD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2.0</w:t>
            </w:r>
          </w:p>
        </w:tc>
        <w:tc>
          <w:tcPr>
            <w:tcW w:w="6520" w:type="dxa"/>
            <w:vAlign w:val="center"/>
          </w:tcPr>
          <w:p w14:paraId="5290542E" w14:textId="77777777" w:rsidR="00BD51AD" w:rsidRPr="00C56907" w:rsidRDefault="00BD51AD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Aprobación de la política por Junta Directiva, sesión 02/2020</w:t>
            </w:r>
          </w:p>
        </w:tc>
        <w:tc>
          <w:tcPr>
            <w:tcW w:w="1886" w:type="dxa"/>
            <w:vAlign w:val="center"/>
          </w:tcPr>
          <w:p w14:paraId="05FA4C85" w14:textId="77777777" w:rsidR="00BD51AD" w:rsidRPr="00C56907" w:rsidRDefault="00BD51AD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13/02/2020</w:t>
            </w:r>
          </w:p>
        </w:tc>
      </w:tr>
      <w:tr w:rsidR="00677FE4" w:rsidRPr="00DC45C8" w14:paraId="648D8924" w14:textId="77777777" w:rsidTr="00553D76">
        <w:tc>
          <w:tcPr>
            <w:tcW w:w="993" w:type="dxa"/>
            <w:vAlign w:val="center"/>
          </w:tcPr>
          <w:p w14:paraId="00F4E36C" w14:textId="39F0D8AA" w:rsidR="00677FE4" w:rsidRPr="00C56907" w:rsidRDefault="00DB574B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  <w:tc>
          <w:tcPr>
            <w:tcW w:w="6520" w:type="dxa"/>
            <w:vAlign w:val="center"/>
          </w:tcPr>
          <w:p w14:paraId="4DC55A75" w14:textId="2DB8A824" w:rsidR="00677FE4" w:rsidRPr="00C56907" w:rsidRDefault="00DB574B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DB574B">
              <w:rPr>
                <w:rFonts w:ascii="Palatino Linotype" w:hAnsi="Palatino Linotype"/>
                <w:sz w:val="18"/>
                <w:szCs w:val="18"/>
              </w:rPr>
              <w:t>Revisión por Dirección General, Dirección TI, Contraloría y Asesoría Legal</w:t>
            </w:r>
          </w:p>
        </w:tc>
        <w:tc>
          <w:tcPr>
            <w:tcW w:w="1886" w:type="dxa"/>
            <w:vAlign w:val="center"/>
          </w:tcPr>
          <w:p w14:paraId="272C2B80" w14:textId="20A0B3B1" w:rsidR="00677FE4" w:rsidRPr="00C56907" w:rsidRDefault="00DB574B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B574B">
              <w:rPr>
                <w:rFonts w:ascii="Palatino Linotype" w:hAnsi="Palatino Linotype"/>
                <w:sz w:val="18"/>
                <w:szCs w:val="18"/>
              </w:rPr>
              <w:t>30</w:t>
            </w:r>
            <w:r w:rsidR="00101CE1">
              <w:rPr>
                <w:rFonts w:ascii="Palatino Linotype" w:hAnsi="Palatino Linotype"/>
                <w:sz w:val="18"/>
                <w:szCs w:val="18"/>
              </w:rPr>
              <w:t>/0</w:t>
            </w:r>
            <w:r w:rsidR="00B2680E">
              <w:rPr>
                <w:rFonts w:ascii="Palatino Linotype" w:hAnsi="Palatino Linotype"/>
                <w:sz w:val="18"/>
                <w:szCs w:val="18"/>
              </w:rPr>
              <w:t>6</w:t>
            </w:r>
            <w:r w:rsidR="00101CE1">
              <w:rPr>
                <w:rFonts w:ascii="Palatino Linotype" w:hAnsi="Palatino Linotype"/>
                <w:sz w:val="18"/>
                <w:szCs w:val="18"/>
              </w:rPr>
              <w:t>/</w:t>
            </w:r>
            <w:r w:rsidRPr="00DB574B">
              <w:rPr>
                <w:rFonts w:ascii="Palatino Linotype" w:hAnsi="Palatino Linotype"/>
                <w:sz w:val="18"/>
                <w:szCs w:val="18"/>
              </w:rPr>
              <w:t>2020</w:t>
            </w:r>
          </w:p>
        </w:tc>
      </w:tr>
      <w:tr w:rsidR="00677FE4" w:rsidRPr="00DC45C8" w14:paraId="390E57B8" w14:textId="77777777" w:rsidTr="00553D76">
        <w:tc>
          <w:tcPr>
            <w:tcW w:w="993" w:type="dxa"/>
            <w:vAlign w:val="center"/>
          </w:tcPr>
          <w:p w14:paraId="79F80291" w14:textId="6C9ACBEA" w:rsidR="00677FE4" w:rsidRPr="00C56907" w:rsidRDefault="00DE337F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3.0</w:t>
            </w:r>
          </w:p>
        </w:tc>
        <w:tc>
          <w:tcPr>
            <w:tcW w:w="6520" w:type="dxa"/>
            <w:vAlign w:val="center"/>
          </w:tcPr>
          <w:p w14:paraId="3A8773FB" w14:textId="621D28AC" w:rsidR="00677FE4" w:rsidRPr="00C56907" w:rsidRDefault="00DE337F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DE337F">
              <w:rPr>
                <w:rFonts w:ascii="Palatino Linotype" w:hAnsi="Palatino Linotype"/>
                <w:sz w:val="18"/>
                <w:szCs w:val="18"/>
              </w:rPr>
              <w:t>Sesión No. 4-2020 en Comité de Tecnología</w:t>
            </w:r>
          </w:p>
        </w:tc>
        <w:tc>
          <w:tcPr>
            <w:tcW w:w="1886" w:type="dxa"/>
            <w:vAlign w:val="center"/>
          </w:tcPr>
          <w:p w14:paraId="79792F09" w14:textId="5FECF13C" w:rsidR="00677FE4" w:rsidRPr="00C56907" w:rsidRDefault="00DE337F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E337F">
              <w:rPr>
                <w:rFonts w:ascii="Palatino Linotype" w:hAnsi="Palatino Linotype"/>
                <w:sz w:val="18"/>
                <w:szCs w:val="18"/>
              </w:rPr>
              <w:t>25</w:t>
            </w:r>
            <w:r>
              <w:rPr>
                <w:rFonts w:ascii="Palatino Linotype" w:hAnsi="Palatino Linotype"/>
                <w:sz w:val="18"/>
                <w:szCs w:val="18"/>
              </w:rPr>
              <w:t>/08/</w:t>
            </w:r>
            <w:r w:rsidRPr="00DE337F">
              <w:rPr>
                <w:rFonts w:ascii="Palatino Linotype" w:hAnsi="Palatino Linotype"/>
                <w:sz w:val="18"/>
                <w:szCs w:val="18"/>
              </w:rPr>
              <w:t>2020</w:t>
            </w:r>
          </w:p>
        </w:tc>
      </w:tr>
      <w:tr w:rsidR="00677FE4" w:rsidRPr="00DC45C8" w14:paraId="29500E28" w14:textId="77777777" w:rsidTr="00553D76">
        <w:tc>
          <w:tcPr>
            <w:tcW w:w="993" w:type="dxa"/>
            <w:vAlign w:val="center"/>
          </w:tcPr>
          <w:p w14:paraId="550DA836" w14:textId="35704DEF" w:rsidR="00677FE4" w:rsidRPr="00C56907" w:rsidRDefault="00D13EF7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lastRenderedPageBreak/>
              <w:t>3.0</w:t>
            </w:r>
          </w:p>
        </w:tc>
        <w:tc>
          <w:tcPr>
            <w:tcW w:w="6520" w:type="dxa"/>
            <w:vAlign w:val="center"/>
          </w:tcPr>
          <w:p w14:paraId="07FB0FCA" w14:textId="1AF27CC7" w:rsidR="00677FE4" w:rsidRPr="00C56907" w:rsidRDefault="00DE337F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DE337F">
              <w:rPr>
                <w:rFonts w:ascii="Palatino Linotype" w:hAnsi="Palatino Linotype"/>
                <w:sz w:val="18"/>
                <w:szCs w:val="18"/>
              </w:rPr>
              <w:t>Sesión No. 11/2020 de Junta Directiva, Artículo No. 5, inciso 5.2</w:t>
            </w:r>
          </w:p>
        </w:tc>
        <w:tc>
          <w:tcPr>
            <w:tcW w:w="1886" w:type="dxa"/>
            <w:vAlign w:val="center"/>
          </w:tcPr>
          <w:p w14:paraId="459968A3" w14:textId="482AB16D" w:rsidR="00677FE4" w:rsidRPr="00C56907" w:rsidRDefault="00D13EF7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D13EF7">
              <w:rPr>
                <w:rFonts w:ascii="Palatino Linotype" w:hAnsi="Palatino Linotype"/>
                <w:sz w:val="18"/>
                <w:szCs w:val="18"/>
              </w:rPr>
              <w:t>17</w:t>
            </w:r>
            <w:r>
              <w:rPr>
                <w:rFonts w:ascii="Palatino Linotype" w:hAnsi="Palatino Linotype"/>
                <w:sz w:val="18"/>
                <w:szCs w:val="18"/>
              </w:rPr>
              <w:t>/09/</w:t>
            </w:r>
            <w:r w:rsidRPr="00D13EF7">
              <w:rPr>
                <w:rFonts w:ascii="Palatino Linotype" w:hAnsi="Palatino Linotype"/>
                <w:sz w:val="18"/>
                <w:szCs w:val="18"/>
              </w:rPr>
              <w:t>202</w:t>
            </w: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</w:tr>
      <w:tr w:rsidR="0000266D" w:rsidRPr="00DC45C8" w14:paraId="6FEC00B6" w14:textId="77777777" w:rsidTr="00553D76">
        <w:tc>
          <w:tcPr>
            <w:tcW w:w="993" w:type="dxa"/>
            <w:vAlign w:val="center"/>
          </w:tcPr>
          <w:p w14:paraId="60DC2829" w14:textId="035B01DC" w:rsidR="0000266D" w:rsidRPr="00C56907" w:rsidRDefault="00D13EF7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</w:t>
            </w:r>
            <w:r w:rsidR="0000266D" w:rsidRPr="00C56907">
              <w:rPr>
                <w:rFonts w:ascii="Palatino Linotype" w:hAnsi="Palatino Linotype"/>
                <w:sz w:val="18"/>
                <w:szCs w:val="18"/>
              </w:rPr>
              <w:t>.0</w:t>
            </w:r>
          </w:p>
        </w:tc>
        <w:tc>
          <w:tcPr>
            <w:tcW w:w="6520" w:type="dxa"/>
            <w:vAlign w:val="center"/>
          </w:tcPr>
          <w:p w14:paraId="78FDA4C7" w14:textId="01FE4ACB" w:rsidR="008A600C" w:rsidRPr="00C56907" w:rsidRDefault="0000266D" w:rsidP="00D13EF7">
            <w:pPr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Ajuste a referencias documentales</w:t>
            </w:r>
            <w:r w:rsidR="008A600C" w:rsidRPr="00C56907">
              <w:rPr>
                <w:rFonts w:ascii="Palatino Linotype" w:hAnsi="Palatino Linotype"/>
                <w:sz w:val="18"/>
                <w:szCs w:val="18"/>
              </w:rPr>
              <w:t>.</w:t>
            </w:r>
            <w:r w:rsidR="00D13EF7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8C025C" w:rsidRPr="00C56907">
              <w:rPr>
                <w:rFonts w:ascii="Palatino Linotype" w:hAnsi="Palatino Linotype"/>
                <w:sz w:val="18"/>
                <w:szCs w:val="18"/>
              </w:rPr>
              <w:t>Inclusión de alcance de la política para InterClear Central de Valores</w:t>
            </w:r>
            <w:r w:rsidR="00D13EF7">
              <w:rPr>
                <w:rFonts w:ascii="Palatino Linotype" w:hAnsi="Palatino Linotype"/>
                <w:sz w:val="18"/>
                <w:szCs w:val="18"/>
              </w:rPr>
              <w:t xml:space="preserve">. </w:t>
            </w:r>
            <w:r w:rsidR="008A600C" w:rsidRPr="00C56907">
              <w:rPr>
                <w:rFonts w:ascii="Palatino Linotype" w:hAnsi="Palatino Linotype"/>
                <w:sz w:val="18"/>
                <w:szCs w:val="18"/>
              </w:rPr>
              <w:t>Revisión de contenido.</w:t>
            </w:r>
          </w:p>
        </w:tc>
        <w:tc>
          <w:tcPr>
            <w:tcW w:w="1886" w:type="dxa"/>
            <w:vAlign w:val="center"/>
          </w:tcPr>
          <w:p w14:paraId="35A7581C" w14:textId="2B02F1D3" w:rsidR="0000266D" w:rsidRPr="00C56907" w:rsidRDefault="008A600C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C56907">
              <w:rPr>
                <w:rFonts w:ascii="Palatino Linotype" w:hAnsi="Palatino Linotype"/>
                <w:sz w:val="18"/>
                <w:szCs w:val="18"/>
              </w:rPr>
              <w:t>03/05/2023</w:t>
            </w:r>
          </w:p>
        </w:tc>
      </w:tr>
      <w:tr w:rsidR="001C73EC" w:rsidRPr="00DC45C8" w14:paraId="47089F70" w14:textId="77777777" w:rsidTr="00553D76">
        <w:tc>
          <w:tcPr>
            <w:tcW w:w="993" w:type="dxa"/>
            <w:vAlign w:val="center"/>
          </w:tcPr>
          <w:p w14:paraId="30FB1B15" w14:textId="6426DE47" w:rsidR="001C73EC" w:rsidRDefault="001C73EC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4.0</w:t>
            </w:r>
          </w:p>
        </w:tc>
        <w:tc>
          <w:tcPr>
            <w:tcW w:w="6520" w:type="dxa"/>
            <w:vAlign w:val="center"/>
          </w:tcPr>
          <w:p w14:paraId="2C4AB2D2" w14:textId="23E0FC48" w:rsidR="001C73EC" w:rsidRDefault="001C73EC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DE337F">
              <w:rPr>
                <w:rFonts w:ascii="Palatino Linotype" w:hAnsi="Palatino Linotype"/>
                <w:sz w:val="18"/>
                <w:szCs w:val="18"/>
              </w:rPr>
              <w:t xml:space="preserve">Sesión No. </w:t>
            </w:r>
            <w:r w:rsidR="008C33D8">
              <w:rPr>
                <w:rFonts w:ascii="Palatino Linotype" w:hAnsi="Palatino Linotype"/>
                <w:sz w:val="18"/>
                <w:szCs w:val="18"/>
              </w:rPr>
              <w:t>0</w:t>
            </w:r>
            <w:r w:rsidR="00E76D37">
              <w:rPr>
                <w:rFonts w:ascii="Palatino Linotype" w:hAnsi="Palatino Linotype"/>
                <w:sz w:val="18"/>
                <w:szCs w:val="18"/>
              </w:rPr>
              <w:t>2</w:t>
            </w:r>
            <w:r w:rsidRPr="00DE337F">
              <w:rPr>
                <w:rFonts w:ascii="Palatino Linotype" w:hAnsi="Palatino Linotype"/>
                <w:sz w:val="18"/>
                <w:szCs w:val="18"/>
              </w:rPr>
              <w:t>-2</w:t>
            </w:r>
            <w:r w:rsidR="00E76D37">
              <w:rPr>
                <w:rFonts w:ascii="Palatino Linotype" w:hAnsi="Palatino Linotype"/>
                <w:sz w:val="18"/>
                <w:szCs w:val="18"/>
              </w:rPr>
              <w:t>3</w:t>
            </w:r>
            <w:r w:rsidRPr="00DE337F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E76D37">
              <w:rPr>
                <w:rFonts w:ascii="Palatino Linotype" w:hAnsi="Palatino Linotype"/>
                <w:sz w:val="18"/>
                <w:szCs w:val="18"/>
              </w:rPr>
              <w:t xml:space="preserve">de </w:t>
            </w:r>
            <w:r w:rsidRPr="00DE337F">
              <w:rPr>
                <w:rFonts w:ascii="Palatino Linotype" w:hAnsi="Palatino Linotype"/>
                <w:sz w:val="18"/>
                <w:szCs w:val="18"/>
              </w:rPr>
              <w:t xml:space="preserve">Comité de </w:t>
            </w:r>
            <w:r w:rsidR="00E76D37">
              <w:rPr>
                <w:rFonts w:ascii="Palatino Linotype" w:hAnsi="Palatino Linotype"/>
                <w:sz w:val="18"/>
                <w:szCs w:val="18"/>
              </w:rPr>
              <w:t>Riesgo</w:t>
            </w:r>
          </w:p>
        </w:tc>
        <w:tc>
          <w:tcPr>
            <w:tcW w:w="1886" w:type="dxa"/>
            <w:vAlign w:val="center"/>
          </w:tcPr>
          <w:p w14:paraId="48BAF2FD" w14:textId="40C7FEA5" w:rsidR="001C73EC" w:rsidRDefault="00E76D37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25/05/2023</w:t>
            </w:r>
          </w:p>
        </w:tc>
      </w:tr>
      <w:tr w:rsidR="001C73EC" w:rsidRPr="00DC45C8" w14:paraId="66D06669" w14:textId="77777777" w:rsidTr="00553D76">
        <w:tc>
          <w:tcPr>
            <w:tcW w:w="993" w:type="dxa"/>
            <w:vAlign w:val="center"/>
          </w:tcPr>
          <w:p w14:paraId="7A92A9D7" w14:textId="7AD742B2" w:rsidR="001C73EC" w:rsidRDefault="001C73EC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4.0</w:t>
            </w:r>
          </w:p>
        </w:tc>
        <w:tc>
          <w:tcPr>
            <w:tcW w:w="6520" w:type="dxa"/>
            <w:vAlign w:val="center"/>
          </w:tcPr>
          <w:p w14:paraId="678A96C9" w14:textId="093B2356" w:rsidR="001C73EC" w:rsidRDefault="00E76D37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DE337F">
              <w:rPr>
                <w:rFonts w:ascii="Palatino Linotype" w:hAnsi="Palatino Linotype"/>
                <w:sz w:val="18"/>
                <w:szCs w:val="18"/>
              </w:rPr>
              <w:t xml:space="preserve">Sesión No. </w:t>
            </w:r>
            <w:r w:rsidR="008C33D8">
              <w:rPr>
                <w:rFonts w:ascii="Palatino Linotype" w:hAnsi="Palatino Linotype"/>
                <w:sz w:val="18"/>
                <w:szCs w:val="18"/>
              </w:rPr>
              <w:t>08-2023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DE337F">
              <w:rPr>
                <w:rFonts w:ascii="Palatino Linotype" w:hAnsi="Palatino Linotype"/>
                <w:sz w:val="18"/>
                <w:szCs w:val="18"/>
              </w:rPr>
              <w:t>de Junta Directiva</w:t>
            </w:r>
          </w:p>
        </w:tc>
        <w:tc>
          <w:tcPr>
            <w:tcW w:w="1886" w:type="dxa"/>
            <w:vAlign w:val="center"/>
          </w:tcPr>
          <w:p w14:paraId="4AC79C9F" w14:textId="37E3849E" w:rsidR="001C73EC" w:rsidRDefault="008C33D8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21/06/2023</w:t>
            </w:r>
          </w:p>
        </w:tc>
      </w:tr>
      <w:tr w:rsidR="00B850C5" w:rsidRPr="00DC45C8" w14:paraId="75DF76A5" w14:textId="77777777" w:rsidTr="00553D76">
        <w:tc>
          <w:tcPr>
            <w:tcW w:w="993" w:type="dxa"/>
            <w:vAlign w:val="center"/>
          </w:tcPr>
          <w:p w14:paraId="474D0CD3" w14:textId="75448DC7" w:rsidR="00B850C5" w:rsidRPr="00C56907" w:rsidRDefault="001C73EC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  <w:r w:rsidR="00D13EF7">
              <w:rPr>
                <w:rFonts w:ascii="Palatino Linotype" w:hAnsi="Palatino Linotype"/>
                <w:sz w:val="18"/>
                <w:szCs w:val="18"/>
              </w:rPr>
              <w:t>.0</w:t>
            </w:r>
          </w:p>
        </w:tc>
        <w:tc>
          <w:tcPr>
            <w:tcW w:w="6520" w:type="dxa"/>
            <w:vAlign w:val="center"/>
          </w:tcPr>
          <w:p w14:paraId="71F1DD8E" w14:textId="02FBBA8F" w:rsidR="00B850C5" w:rsidRPr="00C56907" w:rsidRDefault="00B850C5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Revisión general del documento. </w:t>
            </w:r>
            <w:r w:rsidR="00A274EF">
              <w:rPr>
                <w:rFonts w:ascii="Palatino Linotype" w:hAnsi="Palatino Linotype"/>
                <w:sz w:val="18"/>
                <w:szCs w:val="18"/>
              </w:rPr>
              <w:t>Ajuste alcance al Grupo Financiero B</w:t>
            </w:r>
            <w:r w:rsidR="00D43913">
              <w:rPr>
                <w:rFonts w:ascii="Palatino Linotype" w:hAnsi="Palatino Linotype"/>
                <w:sz w:val="18"/>
                <w:szCs w:val="18"/>
              </w:rPr>
              <w:t>NV</w:t>
            </w:r>
          </w:p>
        </w:tc>
        <w:tc>
          <w:tcPr>
            <w:tcW w:w="1886" w:type="dxa"/>
            <w:vAlign w:val="center"/>
          </w:tcPr>
          <w:p w14:paraId="66CD87CB" w14:textId="06D0B422" w:rsidR="00B850C5" w:rsidRPr="00C56907" w:rsidRDefault="00753288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10/07/2024</w:t>
            </w:r>
          </w:p>
        </w:tc>
      </w:tr>
      <w:tr w:rsidR="002D3E92" w:rsidRPr="00DC45C8" w14:paraId="1F0848E8" w14:textId="77777777" w:rsidTr="00553D76">
        <w:tc>
          <w:tcPr>
            <w:tcW w:w="993" w:type="dxa"/>
            <w:vAlign w:val="center"/>
          </w:tcPr>
          <w:p w14:paraId="1505C0ED" w14:textId="34281718" w:rsidR="002D3E92" w:rsidRDefault="001C73EC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5</w:t>
            </w:r>
            <w:r w:rsidR="00D13EF7">
              <w:rPr>
                <w:rFonts w:ascii="Palatino Linotype" w:hAnsi="Palatino Linotype"/>
                <w:sz w:val="18"/>
                <w:szCs w:val="18"/>
              </w:rPr>
              <w:t>.0</w:t>
            </w:r>
          </w:p>
        </w:tc>
        <w:tc>
          <w:tcPr>
            <w:tcW w:w="6520" w:type="dxa"/>
            <w:vAlign w:val="center"/>
          </w:tcPr>
          <w:p w14:paraId="18C6F9E6" w14:textId="634B01AE" w:rsidR="002D3E92" w:rsidRDefault="00A274EF" w:rsidP="00397BB1">
            <w:pPr>
              <w:rPr>
                <w:rFonts w:ascii="Palatino Linotype" w:hAnsi="Palatino Linotype"/>
                <w:sz w:val="18"/>
                <w:szCs w:val="18"/>
              </w:rPr>
            </w:pPr>
            <w:r w:rsidRPr="00176DD2">
              <w:rPr>
                <w:rFonts w:ascii="Palatino Linotype" w:hAnsi="Palatino Linotype"/>
                <w:sz w:val="18"/>
                <w:szCs w:val="18"/>
              </w:rPr>
              <w:t>Aprobado por Junta Directiva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sesión 0</w:t>
            </w:r>
            <w:r w:rsidR="003106D3">
              <w:rPr>
                <w:rFonts w:ascii="Palatino Linotype" w:hAnsi="Palatino Linotype"/>
                <w:sz w:val="18"/>
                <w:szCs w:val="18"/>
              </w:rPr>
              <w:t>8</w:t>
            </w:r>
            <w:r>
              <w:rPr>
                <w:rFonts w:ascii="Palatino Linotype" w:hAnsi="Palatino Linotype"/>
                <w:sz w:val="18"/>
                <w:szCs w:val="18"/>
              </w:rPr>
              <w:t>-</w:t>
            </w:r>
            <w:r w:rsidRPr="00176DD2">
              <w:rPr>
                <w:rFonts w:ascii="Palatino Linotype" w:hAnsi="Palatino Linotype"/>
                <w:sz w:val="18"/>
                <w:szCs w:val="18"/>
              </w:rPr>
              <w:t>20</w:t>
            </w:r>
            <w:r>
              <w:rPr>
                <w:rFonts w:ascii="Palatino Linotype" w:hAnsi="Palatino Linotype"/>
                <w:sz w:val="18"/>
                <w:szCs w:val="18"/>
              </w:rPr>
              <w:t>24</w:t>
            </w:r>
          </w:p>
        </w:tc>
        <w:tc>
          <w:tcPr>
            <w:tcW w:w="1886" w:type="dxa"/>
            <w:vAlign w:val="center"/>
          </w:tcPr>
          <w:p w14:paraId="246DB011" w14:textId="67296637" w:rsidR="002D3E92" w:rsidRDefault="00A274EF" w:rsidP="00397BB1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17/07/2024</w:t>
            </w:r>
          </w:p>
        </w:tc>
      </w:tr>
    </w:tbl>
    <w:p w14:paraId="338F7603" w14:textId="77777777" w:rsidR="00FC4BF4" w:rsidRPr="00FC4BF4" w:rsidRDefault="00FC4BF4" w:rsidP="00A2370F">
      <w:pPr>
        <w:contextualSpacing/>
        <w:jc w:val="both"/>
        <w:rPr>
          <w:rFonts w:ascii="Palatino Linotype" w:hAnsi="Palatino Linotype"/>
          <w:vanish/>
          <w:sz w:val="22"/>
          <w:szCs w:val="22"/>
          <w:specVanish/>
        </w:rPr>
      </w:pPr>
    </w:p>
    <w:p w14:paraId="24EB5B79" w14:textId="21AF2DA1" w:rsidR="00745B3F" w:rsidRPr="00745B3F" w:rsidRDefault="00FC4BF4" w:rsidP="00FC4BF4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sectPr w:rsidR="00745B3F" w:rsidRPr="00745B3F" w:rsidSect="000A40D6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12" w:right="1418" w:bottom="1412" w:left="1418" w:header="851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4C11" w14:textId="77777777" w:rsidR="00C15D6F" w:rsidRDefault="00C15D6F">
      <w:r>
        <w:separator/>
      </w:r>
    </w:p>
    <w:p w14:paraId="2C1419EB" w14:textId="77777777" w:rsidR="00C15D6F" w:rsidRDefault="00C15D6F"/>
  </w:endnote>
  <w:endnote w:type="continuationSeparator" w:id="0">
    <w:p w14:paraId="35C10923" w14:textId="77777777" w:rsidR="00C15D6F" w:rsidRDefault="00C15D6F">
      <w:r>
        <w:continuationSeparator/>
      </w:r>
    </w:p>
    <w:p w14:paraId="4988565C" w14:textId="77777777" w:rsidR="00C15D6F" w:rsidRDefault="00C15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1290" w14:textId="77777777" w:rsidR="00745B3F" w:rsidRDefault="00745B3F">
    <w:pPr>
      <w:pStyle w:val="Footer"/>
    </w:pPr>
  </w:p>
  <w:p w14:paraId="4F64196B" w14:textId="77777777" w:rsidR="006E6E66" w:rsidRDefault="006E6E6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D5F4" w14:textId="77777777" w:rsidR="000D1BDE" w:rsidRPr="00AD041E" w:rsidRDefault="00830950" w:rsidP="00830950">
    <w:pPr>
      <w:pStyle w:val="Footer"/>
      <w:jc w:val="right"/>
      <w:rPr>
        <w:rFonts w:ascii="Calibri" w:hAnsi="Calibri"/>
        <w:sz w:val="16"/>
        <w:szCs w:val="16"/>
      </w:rPr>
    </w:pPr>
    <w:r w:rsidRPr="00AD041E">
      <w:rPr>
        <w:rFonts w:ascii="Calibri" w:hAnsi="Calibri" w:cs="Arial"/>
        <w:sz w:val="16"/>
        <w:szCs w:val="16"/>
        <w:lang w:val="es-ES"/>
      </w:rPr>
      <w:fldChar w:fldCharType="begin"/>
    </w:r>
    <w:r w:rsidRPr="00AD041E">
      <w:rPr>
        <w:rFonts w:ascii="Calibri" w:hAnsi="Calibri" w:cs="Arial"/>
        <w:sz w:val="16"/>
        <w:szCs w:val="16"/>
        <w:lang w:val="es-ES"/>
      </w:rPr>
      <w:instrText xml:space="preserve"> PAGE </w:instrText>
    </w:r>
    <w:r w:rsidRPr="00AD041E">
      <w:rPr>
        <w:rFonts w:ascii="Calibri" w:hAnsi="Calibri" w:cs="Arial"/>
        <w:sz w:val="16"/>
        <w:szCs w:val="16"/>
        <w:lang w:val="es-ES"/>
      </w:rPr>
      <w:fldChar w:fldCharType="separate"/>
    </w:r>
    <w:r w:rsidR="00FF72C1">
      <w:rPr>
        <w:rFonts w:ascii="Calibri" w:hAnsi="Calibri" w:cs="Arial"/>
        <w:noProof/>
        <w:sz w:val="16"/>
        <w:szCs w:val="16"/>
        <w:lang w:val="es-ES"/>
      </w:rPr>
      <w:t>1</w:t>
    </w:r>
    <w:r w:rsidRPr="00AD041E">
      <w:rPr>
        <w:rFonts w:ascii="Calibri" w:hAnsi="Calibri" w:cs="Arial"/>
        <w:sz w:val="16"/>
        <w:szCs w:val="16"/>
        <w:lang w:val="es-ES"/>
      </w:rPr>
      <w:fldChar w:fldCharType="end"/>
    </w:r>
    <w:r w:rsidRPr="00AD041E">
      <w:rPr>
        <w:rFonts w:ascii="Calibri" w:hAnsi="Calibri" w:cs="Arial"/>
        <w:sz w:val="16"/>
        <w:szCs w:val="16"/>
        <w:lang w:val="es-ES"/>
      </w:rPr>
      <w:t xml:space="preserve"> de </w:t>
    </w:r>
    <w:r w:rsidRPr="00AD041E">
      <w:rPr>
        <w:rFonts w:ascii="Calibri" w:hAnsi="Calibri" w:cs="Arial"/>
        <w:sz w:val="16"/>
        <w:szCs w:val="16"/>
        <w:lang w:val="es-ES"/>
      </w:rPr>
      <w:fldChar w:fldCharType="begin"/>
    </w:r>
    <w:r w:rsidRPr="00AD041E">
      <w:rPr>
        <w:rFonts w:ascii="Calibri" w:hAnsi="Calibri" w:cs="Arial"/>
        <w:sz w:val="16"/>
        <w:szCs w:val="16"/>
        <w:lang w:val="es-ES"/>
      </w:rPr>
      <w:instrText xml:space="preserve"> NUMPAGES  </w:instrText>
    </w:r>
    <w:r w:rsidRPr="00AD041E">
      <w:rPr>
        <w:rFonts w:ascii="Calibri" w:hAnsi="Calibri" w:cs="Arial"/>
        <w:sz w:val="16"/>
        <w:szCs w:val="16"/>
        <w:lang w:val="es-ES"/>
      </w:rPr>
      <w:fldChar w:fldCharType="separate"/>
    </w:r>
    <w:r w:rsidR="00FF72C1">
      <w:rPr>
        <w:rFonts w:ascii="Calibri" w:hAnsi="Calibri" w:cs="Arial"/>
        <w:noProof/>
        <w:sz w:val="16"/>
        <w:szCs w:val="16"/>
        <w:lang w:val="es-ES"/>
      </w:rPr>
      <w:t>1</w:t>
    </w:r>
    <w:r w:rsidRPr="00AD041E">
      <w:rPr>
        <w:rFonts w:ascii="Calibri" w:hAnsi="Calibri" w:cs="Arial"/>
        <w:sz w:val="16"/>
        <w:szCs w:val="16"/>
        <w:lang w:val="es-ES"/>
      </w:rPr>
      <w:fldChar w:fldCharType="end"/>
    </w:r>
  </w:p>
  <w:p w14:paraId="117FA665" w14:textId="77777777" w:rsidR="006E6E66" w:rsidRDefault="006E6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0F665" w14:textId="77777777" w:rsidR="00C15D6F" w:rsidRDefault="00C15D6F">
      <w:r>
        <w:separator/>
      </w:r>
    </w:p>
    <w:p w14:paraId="508938E3" w14:textId="77777777" w:rsidR="00C15D6F" w:rsidRDefault="00C15D6F"/>
  </w:footnote>
  <w:footnote w:type="continuationSeparator" w:id="0">
    <w:p w14:paraId="437B50BF" w14:textId="77777777" w:rsidR="00C15D6F" w:rsidRDefault="00C15D6F">
      <w:r>
        <w:continuationSeparator/>
      </w:r>
    </w:p>
    <w:p w14:paraId="6CD59536" w14:textId="77777777" w:rsidR="00C15D6F" w:rsidRDefault="00C15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F5DA5" w14:textId="77777777" w:rsidR="00745B3F" w:rsidRDefault="00745B3F">
    <w:pPr>
      <w:pStyle w:val="Header"/>
    </w:pPr>
  </w:p>
  <w:p w14:paraId="27A839CA" w14:textId="77777777" w:rsidR="006E6E66" w:rsidRDefault="006E6E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E2F7" w14:textId="77777777" w:rsidR="005E5CEE" w:rsidRDefault="005E5CEE" w:rsidP="005E5CEE">
    <w:pPr>
      <w:pStyle w:val="Header"/>
      <w:jc w:val="right"/>
      <w:rPr>
        <w:rFonts w:ascii="Calibri" w:hAnsi="Calibri"/>
        <w:bCs/>
        <w:color w:val="000000"/>
        <w:sz w:val="16"/>
        <w:szCs w:val="16"/>
        <w:lang w:val="es-ES" w:eastAsia="es-CR"/>
      </w:rPr>
    </w:pPr>
  </w:p>
  <w:tbl>
    <w:tblPr>
      <w:tblW w:w="9498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113"/>
      <w:gridCol w:w="2990"/>
      <w:gridCol w:w="3343"/>
      <w:gridCol w:w="1052"/>
    </w:tblGrid>
    <w:tr w:rsidR="00745B3F" w:rsidRPr="00DC45C8" w14:paraId="6A526FCA" w14:textId="77777777" w:rsidTr="00745B3F">
      <w:trPr>
        <w:trHeight w:hRule="exact" w:val="572"/>
      </w:trPr>
      <w:tc>
        <w:tcPr>
          <w:tcW w:w="2113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C0C0C0"/>
          </w:tcBorders>
          <w:vAlign w:val="center"/>
          <w:hideMark/>
        </w:tcPr>
        <w:p w14:paraId="7994FCF6" w14:textId="77777777" w:rsidR="00745B3F" w:rsidRPr="00DC45C8" w:rsidRDefault="001E79C6" w:rsidP="00745B3F">
          <w:pPr>
            <w:jc w:val="center"/>
            <w:rPr>
              <w:rFonts w:ascii="Palatino Linotype" w:hAnsi="Palatino Linotype" w:cs="Tahoma"/>
              <w:sz w:val="18"/>
              <w:szCs w:val="18"/>
            </w:rPr>
          </w:pPr>
          <w:r w:rsidRPr="00774B62"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1E7638A3" wp14:editId="38677B77">
                <wp:simplePos x="0" y="0"/>
                <wp:positionH relativeFrom="column">
                  <wp:posOffset>102870</wp:posOffset>
                </wp:positionH>
                <wp:positionV relativeFrom="paragraph">
                  <wp:posOffset>85090</wp:posOffset>
                </wp:positionV>
                <wp:extent cx="984250" cy="368935"/>
                <wp:effectExtent l="0" t="0" r="635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AM-X Ban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5" w:type="dxa"/>
          <w:gridSpan w:val="3"/>
          <w:tcBorders>
            <w:top w:val="single" w:sz="12" w:space="0" w:color="auto"/>
            <w:left w:val="single" w:sz="12" w:space="0" w:color="C0C0C0"/>
            <w:bottom w:val="nil"/>
            <w:right w:val="single" w:sz="12" w:space="0" w:color="auto"/>
          </w:tcBorders>
        </w:tcPr>
        <w:p w14:paraId="63B96466" w14:textId="77777777" w:rsidR="00745B3F" w:rsidRPr="00DC45C8" w:rsidRDefault="00745B3F" w:rsidP="00745B3F">
          <w:pPr>
            <w:pStyle w:val="MyStile"/>
            <w:rPr>
              <w:rFonts w:ascii="Palatino Linotype" w:eastAsiaTheme="minorHAnsi" w:hAnsi="Palatino Linotype"/>
              <w:sz w:val="18"/>
              <w:szCs w:val="18"/>
            </w:rPr>
          </w:pPr>
          <w:r w:rsidRPr="00DC45C8">
            <w:rPr>
              <w:rFonts w:ascii="Palatino Linotype" w:eastAsiaTheme="minorHAnsi" w:hAnsi="Palatino Linotype"/>
              <w:sz w:val="18"/>
              <w:szCs w:val="18"/>
            </w:rPr>
            <w:t>Bolsa Nacional de Valores</w:t>
          </w:r>
        </w:p>
        <w:p w14:paraId="5A4D80C8" w14:textId="20421E73" w:rsidR="00745B3F" w:rsidRPr="00DC45C8" w:rsidRDefault="00745B3F" w:rsidP="00745B3F">
          <w:pPr>
            <w:pStyle w:val="MyStile"/>
            <w:rPr>
              <w:rFonts w:ascii="Palatino Linotype" w:hAnsi="Palatino Linotype"/>
              <w:sz w:val="18"/>
              <w:szCs w:val="18"/>
            </w:rPr>
          </w:pPr>
          <w:r w:rsidRPr="00DC45C8">
            <w:rPr>
              <w:rFonts w:ascii="Palatino Linotype" w:hAnsi="Palatino Linotype"/>
              <w:sz w:val="18"/>
              <w:szCs w:val="18"/>
            </w:rPr>
            <w:t xml:space="preserve">Política de </w:t>
          </w:r>
          <w:r>
            <w:rPr>
              <w:rFonts w:ascii="Palatino Linotype" w:hAnsi="Palatino Linotype"/>
              <w:sz w:val="18"/>
              <w:szCs w:val="18"/>
            </w:rPr>
            <w:t>Continuidad del Negocio</w:t>
          </w:r>
          <w:r w:rsidR="0064751D">
            <w:rPr>
              <w:rFonts w:ascii="Palatino Linotype" w:hAnsi="Palatino Linotype"/>
              <w:sz w:val="18"/>
              <w:szCs w:val="18"/>
            </w:rPr>
            <w:t xml:space="preserve"> Corporativo</w:t>
          </w:r>
        </w:p>
      </w:tc>
    </w:tr>
    <w:tr w:rsidR="00745B3F" w:rsidRPr="00DC45C8" w14:paraId="25A9C900" w14:textId="77777777" w:rsidTr="00524669">
      <w:trPr>
        <w:trHeight w:hRule="exact" w:val="288"/>
      </w:trPr>
      <w:tc>
        <w:tcPr>
          <w:tcW w:w="0" w:type="auto"/>
          <w:vMerge/>
          <w:vAlign w:val="center"/>
          <w:hideMark/>
        </w:tcPr>
        <w:p w14:paraId="7797913D" w14:textId="77777777" w:rsidR="00745B3F" w:rsidRPr="00DC45C8" w:rsidRDefault="00745B3F" w:rsidP="00745B3F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90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hideMark/>
        </w:tcPr>
        <w:p w14:paraId="20FE3CBA" w14:textId="781AABEB" w:rsidR="00E947F8" w:rsidRDefault="00745B3F" w:rsidP="00412759">
          <w:pPr>
            <w:rPr>
              <w:rFonts w:ascii="Palatino Linotype" w:hAnsi="Palatino Linotype" w:cs="Tahoma"/>
              <w:sz w:val="18"/>
              <w:szCs w:val="18"/>
              <w:lang w:val="pt-BR"/>
            </w:rPr>
          </w:pPr>
          <w:r w:rsidRPr="00DC45C8">
            <w:rPr>
              <w:rFonts w:ascii="Palatino Linotype" w:hAnsi="Palatino Linotype" w:cs="Tahoma"/>
              <w:sz w:val="18"/>
              <w:szCs w:val="18"/>
              <w:lang w:val="pt-BR"/>
            </w:rPr>
            <w:t xml:space="preserve">Código: </w:t>
          </w:r>
          <w:r w:rsidR="00E947F8">
            <w:rPr>
              <w:rFonts w:ascii="Palatino Linotype" w:hAnsi="Palatino Linotype" w:cs="Tahoma"/>
              <w:sz w:val="18"/>
              <w:szCs w:val="18"/>
              <w:lang w:val="pt-BR"/>
            </w:rPr>
            <w:t>B-PGGC-NI-PO11</w:t>
          </w:r>
        </w:p>
        <w:p w14:paraId="1440EECC" w14:textId="77777777" w:rsidR="00E947F8" w:rsidRDefault="00E947F8" w:rsidP="00E947F8">
          <w:pPr>
            <w:pStyle w:val="Defaul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B-PGGC-NI-PO11 </w:t>
          </w:r>
        </w:p>
        <w:p w14:paraId="0CABD0D7" w14:textId="546C7AD8" w:rsidR="00745B3F" w:rsidRPr="00DC45C8" w:rsidRDefault="00745B3F" w:rsidP="00412759">
          <w:pPr>
            <w:rPr>
              <w:rFonts w:ascii="Palatino Linotype" w:hAnsi="Palatino Linotype" w:cs="Tahoma"/>
              <w:i/>
              <w:sz w:val="18"/>
              <w:szCs w:val="18"/>
              <w:lang w:val="pt-BR"/>
            </w:rPr>
          </w:pPr>
        </w:p>
      </w:tc>
      <w:tc>
        <w:tcPr>
          <w:tcW w:w="3343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nil"/>
          </w:tcBorders>
          <w:hideMark/>
        </w:tcPr>
        <w:p w14:paraId="36778F5D" w14:textId="77777777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r w:rsidRPr="178A27F2">
            <w:rPr>
              <w:rFonts w:ascii="Palatino Linotype" w:hAnsi="Palatino Linotype" w:cs="Tahoma"/>
              <w:sz w:val="18"/>
              <w:szCs w:val="18"/>
            </w:rPr>
            <w:t xml:space="preserve">Fecha de vigencia: </w:t>
          </w:r>
        </w:p>
      </w:tc>
      <w:tc>
        <w:tcPr>
          <w:tcW w:w="1052" w:type="dxa"/>
          <w:tcBorders>
            <w:top w:val="single" w:sz="12" w:space="0" w:color="C0C0C0"/>
            <w:left w:val="nil"/>
            <w:bottom w:val="single" w:sz="12" w:space="0" w:color="C0C0C0"/>
            <w:right w:val="single" w:sz="12" w:space="0" w:color="auto"/>
          </w:tcBorders>
          <w:hideMark/>
        </w:tcPr>
        <w:p w14:paraId="23C3B2A9" w14:textId="77777777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r>
            <w:rPr>
              <w:rFonts w:ascii="Palatino Linotype" w:hAnsi="Palatino Linotype" w:cs="Tahoma"/>
              <w:sz w:val="18"/>
              <w:szCs w:val="18"/>
            </w:rPr>
            <w:t>20</w:t>
          </w:r>
          <w:r w:rsidRPr="178A27F2">
            <w:rPr>
              <w:rFonts w:ascii="Palatino Linotype" w:hAnsi="Palatino Linotype" w:cs="Tahoma"/>
              <w:sz w:val="18"/>
              <w:szCs w:val="18"/>
            </w:rPr>
            <w:t>/</w:t>
          </w:r>
          <w:r>
            <w:rPr>
              <w:rFonts w:ascii="Palatino Linotype" w:hAnsi="Palatino Linotype" w:cs="Tahoma"/>
              <w:sz w:val="18"/>
              <w:szCs w:val="18"/>
            </w:rPr>
            <w:t>04</w:t>
          </w:r>
          <w:r w:rsidRPr="178A27F2">
            <w:rPr>
              <w:rFonts w:ascii="Palatino Linotype" w:hAnsi="Palatino Linotype" w:cs="Tahoma"/>
              <w:sz w:val="18"/>
              <w:szCs w:val="18"/>
            </w:rPr>
            <w:t>/201</w:t>
          </w:r>
          <w:r>
            <w:rPr>
              <w:rFonts w:ascii="Palatino Linotype" w:hAnsi="Palatino Linotype" w:cs="Tahoma"/>
              <w:sz w:val="18"/>
              <w:szCs w:val="18"/>
            </w:rPr>
            <w:t>7</w:t>
          </w:r>
        </w:p>
      </w:tc>
    </w:tr>
    <w:tr w:rsidR="00745B3F" w:rsidRPr="00DC45C8" w14:paraId="2ED10938" w14:textId="77777777" w:rsidTr="00524669">
      <w:trPr>
        <w:trHeight w:hRule="exact" w:val="288"/>
      </w:trPr>
      <w:tc>
        <w:tcPr>
          <w:tcW w:w="0" w:type="auto"/>
          <w:vMerge/>
          <w:vAlign w:val="center"/>
        </w:tcPr>
        <w:p w14:paraId="7D90C30A" w14:textId="77777777" w:rsidR="00745B3F" w:rsidRPr="00DC45C8" w:rsidRDefault="00745B3F" w:rsidP="00745B3F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90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35973FC2" w14:textId="5F6A47F8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r w:rsidRPr="00DC45C8">
            <w:rPr>
              <w:rFonts w:ascii="Palatino Linotype" w:hAnsi="Palatino Linotype" w:cs="Tahoma"/>
              <w:sz w:val="18"/>
              <w:szCs w:val="18"/>
            </w:rPr>
            <w:t xml:space="preserve">Versión </w:t>
          </w:r>
          <w:r w:rsidR="008C33D8">
            <w:rPr>
              <w:rFonts w:ascii="Palatino Linotype" w:hAnsi="Palatino Linotype" w:cs="Tahoma"/>
              <w:sz w:val="18"/>
              <w:szCs w:val="18"/>
            </w:rPr>
            <w:t>5</w:t>
          </w:r>
          <w:r w:rsidRPr="00745B3F">
            <w:rPr>
              <w:rFonts w:ascii="Palatino Linotype" w:hAnsi="Palatino Linotype" w:cs="Tahoma"/>
              <w:sz w:val="18"/>
              <w:szCs w:val="18"/>
            </w:rPr>
            <w:t>.0</w:t>
          </w:r>
        </w:p>
      </w:tc>
      <w:tc>
        <w:tcPr>
          <w:tcW w:w="3343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nil"/>
          </w:tcBorders>
        </w:tcPr>
        <w:p w14:paraId="0675C953" w14:textId="77777777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r w:rsidRPr="00DC45C8">
            <w:rPr>
              <w:rFonts w:ascii="Palatino Linotype" w:hAnsi="Palatino Linotype" w:cs="Tahoma"/>
              <w:sz w:val="18"/>
              <w:szCs w:val="18"/>
            </w:rPr>
            <w:t>Fecha de última actualización:</w:t>
          </w:r>
        </w:p>
      </w:tc>
      <w:tc>
        <w:tcPr>
          <w:tcW w:w="1052" w:type="dxa"/>
          <w:tcBorders>
            <w:top w:val="single" w:sz="12" w:space="0" w:color="C0C0C0"/>
            <w:left w:val="nil"/>
            <w:bottom w:val="single" w:sz="12" w:space="0" w:color="C0C0C0"/>
            <w:right w:val="single" w:sz="12" w:space="0" w:color="auto"/>
          </w:tcBorders>
        </w:tcPr>
        <w:p w14:paraId="6FB93271" w14:textId="03B61C31" w:rsidR="00745B3F" w:rsidRPr="00DC45C8" w:rsidRDefault="00B850C5" w:rsidP="00745B3F">
          <w:pPr>
            <w:rPr>
              <w:rFonts w:ascii="Palatino Linotype" w:hAnsi="Palatino Linotype" w:cs="Tahoma"/>
              <w:sz w:val="18"/>
              <w:szCs w:val="18"/>
            </w:rPr>
          </w:pPr>
          <w:r>
            <w:rPr>
              <w:rFonts w:ascii="Palatino Linotype" w:hAnsi="Palatino Linotype" w:cs="Tahoma"/>
              <w:sz w:val="18"/>
              <w:szCs w:val="18"/>
            </w:rPr>
            <w:t>1</w:t>
          </w:r>
          <w:r>
            <w:rPr>
              <w:rFonts w:cs="Tahoma"/>
              <w:sz w:val="18"/>
              <w:szCs w:val="18"/>
            </w:rPr>
            <w:t>0/07/2024</w:t>
          </w:r>
        </w:p>
      </w:tc>
    </w:tr>
    <w:tr w:rsidR="00745B3F" w:rsidRPr="00DC45C8" w14:paraId="53AB5B00" w14:textId="77777777" w:rsidTr="00524669">
      <w:trPr>
        <w:trHeight w:hRule="exact" w:val="288"/>
      </w:trPr>
      <w:tc>
        <w:tcPr>
          <w:tcW w:w="0" w:type="auto"/>
          <w:vMerge/>
          <w:vAlign w:val="center"/>
        </w:tcPr>
        <w:p w14:paraId="245B800A" w14:textId="77777777" w:rsidR="00745B3F" w:rsidRPr="00DC45C8" w:rsidRDefault="00745B3F" w:rsidP="00745B3F">
          <w:pPr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2990" w:type="dxa"/>
          <w:tcBorders>
            <w:top w:val="single" w:sz="12" w:space="0" w:color="C0C0C0"/>
            <w:left w:val="single" w:sz="12" w:space="0" w:color="C0C0C0"/>
            <w:bottom w:val="single" w:sz="12" w:space="0" w:color="auto"/>
            <w:right w:val="single" w:sz="12" w:space="0" w:color="C0C0C0"/>
          </w:tcBorders>
        </w:tcPr>
        <w:p w14:paraId="654BB92D" w14:textId="6B395B28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proofErr w:type="spellStart"/>
          <w:r w:rsidRPr="00DC45C8">
            <w:rPr>
              <w:rFonts w:ascii="Palatino Linotype" w:hAnsi="Palatino Linotype" w:cs="Tahoma"/>
              <w:sz w:val="18"/>
              <w:szCs w:val="18"/>
            </w:rPr>
            <w:t>Ref</w:t>
          </w:r>
          <w:proofErr w:type="spellEnd"/>
          <w:r w:rsidRPr="00DC45C8">
            <w:rPr>
              <w:rFonts w:ascii="Palatino Linotype" w:hAnsi="Palatino Linotype" w:cs="Tahoma"/>
              <w:sz w:val="18"/>
              <w:szCs w:val="18"/>
            </w:rPr>
            <w:t xml:space="preserve"> </w:t>
          </w:r>
          <w:r w:rsidR="00544D4A">
            <w:rPr>
              <w:rFonts w:ascii="Palatino Linotype" w:hAnsi="Palatino Linotype" w:cs="Tahoma"/>
              <w:sz w:val="18"/>
              <w:szCs w:val="18"/>
            </w:rPr>
            <w:t>RGGTI</w:t>
          </w:r>
        </w:p>
      </w:tc>
      <w:tc>
        <w:tcPr>
          <w:tcW w:w="4395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auto"/>
            <w:right w:val="single" w:sz="12" w:space="0" w:color="auto"/>
          </w:tcBorders>
        </w:tcPr>
        <w:p w14:paraId="250BE05F" w14:textId="77777777" w:rsidR="00745B3F" w:rsidRPr="00DC45C8" w:rsidRDefault="00745B3F" w:rsidP="00745B3F">
          <w:pPr>
            <w:rPr>
              <w:rFonts w:ascii="Palatino Linotype" w:hAnsi="Palatino Linotype" w:cs="Tahoma"/>
              <w:sz w:val="18"/>
              <w:szCs w:val="18"/>
            </w:rPr>
          </w:pPr>
          <w:r w:rsidRPr="00DC45C8">
            <w:rPr>
              <w:rFonts w:ascii="Palatino Linotype" w:hAnsi="Palatino Linotype" w:cs="Tahoma"/>
              <w:sz w:val="18"/>
              <w:szCs w:val="18"/>
            </w:rPr>
            <w:t xml:space="preserve">Gestionar </w:t>
          </w:r>
          <w:r>
            <w:rPr>
              <w:rFonts w:ascii="Palatino Linotype" w:hAnsi="Palatino Linotype" w:cs="Tahoma"/>
              <w:sz w:val="18"/>
              <w:szCs w:val="18"/>
            </w:rPr>
            <w:t>la Continuidad</w:t>
          </w:r>
        </w:p>
      </w:tc>
    </w:tr>
  </w:tbl>
  <w:p w14:paraId="6FCEFB92" w14:textId="77777777" w:rsidR="00745B3F" w:rsidRDefault="00745B3F" w:rsidP="005E5CEE">
    <w:pPr>
      <w:pStyle w:val="Header"/>
      <w:jc w:val="right"/>
      <w:rPr>
        <w:rFonts w:ascii="Calibri" w:hAnsi="Calibri"/>
        <w:bCs/>
        <w:color w:val="000000"/>
        <w:sz w:val="16"/>
        <w:szCs w:val="16"/>
        <w:lang w:val="es-ES" w:eastAsia="es-CR"/>
      </w:rPr>
    </w:pPr>
  </w:p>
  <w:p w14:paraId="7295F171" w14:textId="77777777" w:rsidR="00745B3F" w:rsidRPr="005E5CEE" w:rsidRDefault="00745B3F" w:rsidP="005E5CEE">
    <w:pPr>
      <w:pStyle w:val="Header"/>
      <w:jc w:val="right"/>
      <w:rPr>
        <w:rFonts w:ascii="Calibri" w:hAnsi="Calibri"/>
        <w:bCs/>
        <w:color w:val="000000"/>
        <w:sz w:val="16"/>
        <w:szCs w:val="16"/>
        <w:lang w:val="es-ES" w:eastAsia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7610E"/>
    <w:multiLevelType w:val="hybridMultilevel"/>
    <w:tmpl w:val="8BA237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35A"/>
    <w:multiLevelType w:val="hybridMultilevel"/>
    <w:tmpl w:val="15B0534C"/>
    <w:lvl w:ilvl="0" w:tplc="5F4EBE88">
      <w:start w:val="10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6E0F"/>
    <w:multiLevelType w:val="hybridMultilevel"/>
    <w:tmpl w:val="0748D572"/>
    <w:lvl w:ilvl="0" w:tplc="1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C650DA1"/>
    <w:multiLevelType w:val="multilevel"/>
    <w:tmpl w:val="6666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3B67DB"/>
    <w:multiLevelType w:val="hybridMultilevel"/>
    <w:tmpl w:val="79CC07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54BB1"/>
    <w:multiLevelType w:val="hybridMultilevel"/>
    <w:tmpl w:val="22462208"/>
    <w:lvl w:ilvl="0" w:tplc="A86603E2">
      <w:start w:val="1"/>
      <w:numFmt w:val="decimal"/>
      <w:lvlText w:val="%1."/>
      <w:lvlJc w:val="left"/>
      <w:pPr>
        <w:ind w:left="2136" w:hanging="360"/>
      </w:pPr>
    </w:lvl>
    <w:lvl w:ilvl="1" w:tplc="140A0019" w:tentative="1">
      <w:start w:val="1"/>
      <w:numFmt w:val="lowerLetter"/>
      <w:lvlText w:val="%2."/>
      <w:lvlJc w:val="left"/>
      <w:pPr>
        <w:ind w:left="2856" w:hanging="360"/>
      </w:pPr>
    </w:lvl>
    <w:lvl w:ilvl="2" w:tplc="140A001B" w:tentative="1">
      <w:start w:val="1"/>
      <w:numFmt w:val="lowerRoman"/>
      <w:lvlText w:val="%3."/>
      <w:lvlJc w:val="right"/>
      <w:pPr>
        <w:ind w:left="3576" w:hanging="180"/>
      </w:pPr>
    </w:lvl>
    <w:lvl w:ilvl="3" w:tplc="140A000F" w:tentative="1">
      <w:start w:val="1"/>
      <w:numFmt w:val="decimal"/>
      <w:lvlText w:val="%4."/>
      <w:lvlJc w:val="left"/>
      <w:pPr>
        <w:ind w:left="4296" w:hanging="360"/>
      </w:pPr>
    </w:lvl>
    <w:lvl w:ilvl="4" w:tplc="140A0019" w:tentative="1">
      <w:start w:val="1"/>
      <w:numFmt w:val="lowerLetter"/>
      <w:lvlText w:val="%5."/>
      <w:lvlJc w:val="left"/>
      <w:pPr>
        <w:ind w:left="5016" w:hanging="360"/>
      </w:pPr>
    </w:lvl>
    <w:lvl w:ilvl="5" w:tplc="140A001B" w:tentative="1">
      <w:start w:val="1"/>
      <w:numFmt w:val="lowerRoman"/>
      <w:lvlText w:val="%6."/>
      <w:lvlJc w:val="right"/>
      <w:pPr>
        <w:ind w:left="5736" w:hanging="180"/>
      </w:pPr>
    </w:lvl>
    <w:lvl w:ilvl="6" w:tplc="140A000F" w:tentative="1">
      <w:start w:val="1"/>
      <w:numFmt w:val="decimal"/>
      <w:lvlText w:val="%7."/>
      <w:lvlJc w:val="left"/>
      <w:pPr>
        <w:ind w:left="6456" w:hanging="360"/>
      </w:pPr>
    </w:lvl>
    <w:lvl w:ilvl="7" w:tplc="140A0019" w:tentative="1">
      <w:start w:val="1"/>
      <w:numFmt w:val="lowerLetter"/>
      <w:lvlText w:val="%8."/>
      <w:lvlJc w:val="left"/>
      <w:pPr>
        <w:ind w:left="7176" w:hanging="360"/>
      </w:pPr>
    </w:lvl>
    <w:lvl w:ilvl="8" w:tplc="1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9693C3B"/>
    <w:multiLevelType w:val="hybridMultilevel"/>
    <w:tmpl w:val="E72ABB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1CC8"/>
    <w:multiLevelType w:val="hybridMultilevel"/>
    <w:tmpl w:val="A164F8E6"/>
    <w:lvl w:ilvl="0" w:tplc="5BA8D3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54C7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E8F7CBC"/>
    <w:multiLevelType w:val="multilevel"/>
    <w:tmpl w:val="6666C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4AE05D3"/>
    <w:multiLevelType w:val="hybridMultilevel"/>
    <w:tmpl w:val="4FBEBB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099D"/>
    <w:multiLevelType w:val="hybridMultilevel"/>
    <w:tmpl w:val="E8F6B1CA"/>
    <w:lvl w:ilvl="0" w:tplc="1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4042722">
    <w:abstractNumId w:val="8"/>
  </w:num>
  <w:num w:numId="2" w16cid:durableId="1545751369">
    <w:abstractNumId w:val="9"/>
  </w:num>
  <w:num w:numId="3" w16cid:durableId="1392538694">
    <w:abstractNumId w:val="3"/>
  </w:num>
  <w:num w:numId="4" w16cid:durableId="181477754">
    <w:abstractNumId w:val="4"/>
  </w:num>
  <w:num w:numId="5" w16cid:durableId="2111584020">
    <w:abstractNumId w:val="7"/>
  </w:num>
  <w:num w:numId="6" w16cid:durableId="1246305996">
    <w:abstractNumId w:val="1"/>
  </w:num>
  <w:num w:numId="7" w16cid:durableId="1676375245">
    <w:abstractNumId w:val="10"/>
  </w:num>
  <w:num w:numId="8" w16cid:durableId="343095685">
    <w:abstractNumId w:val="11"/>
  </w:num>
  <w:num w:numId="9" w16cid:durableId="46223491">
    <w:abstractNumId w:val="5"/>
  </w:num>
  <w:num w:numId="10" w16cid:durableId="139464935">
    <w:abstractNumId w:val="0"/>
  </w:num>
  <w:num w:numId="11" w16cid:durableId="1825661675">
    <w:abstractNumId w:val="2"/>
  </w:num>
  <w:num w:numId="12" w16cid:durableId="31457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19"/>
    <w:rsid w:val="0000266D"/>
    <w:rsid w:val="00004199"/>
    <w:rsid w:val="00004C5E"/>
    <w:rsid w:val="0000714E"/>
    <w:rsid w:val="000140D1"/>
    <w:rsid w:val="00043EB7"/>
    <w:rsid w:val="00053A6E"/>
    <w:rsid w:val="00060FAA"/>
    <w:rsid w:val="00065498"/>
    <w:rsid w:val="0006710B"/>
    <w:rsid w:val="000A40D6"/>
    <w:rsid w:val="000A55C2"/>
    <w:rsid w:val="000B31EC"/>
    <w:rsid w:val="000B5905"/>
    <w:rsid w:val="000C164E"/>
    <w:rsid w:val="000C5FA8"/>
    <w:rsid w:val="000D1BDE"/>
    <w:rsid w:val="000F774B"/>
    <w:rsid w:val="001016B3"/>
    <w:rsid w:val="00101CE1"/>
    <w:rsid w:val="00113FE8"/>
    <w:rsid w:val="00120069"/>
    <w:rsid w:val="00120719"/>
    <w:rsid w:val="00133E5E"/>
    <w:rsid w:val="00137A16"/>
    <w:rsid w:val="00141354"/>
    <w:rsid w:val="001566A1"/>
    <w:rsid w:val="00163BF5"/>
    <w:rsid w:val="00163F2D"/>
    <w:rsid w:val="001647C6"/>
    <w:rsid w:val="00176D0B"/>
    <w:rsid w:val="00176DD2"/>
    <w:rsid w:val="001775D5"/>
    <w:rsid w:val="0018521D"/>
    <w:rsid w:val="001A1EEE"/>
    <w:rsid w:val="001A6142"/>
    <w:rsid w:val="001B70A3"/>
    <w:rsid w:val="001C0790"/>
    <w:rsid w:val="001C6013"/>
    <w:rsid w:val="001C73EC"/>
    <w:rsid w:val="001D2F3D"/>
    <w:rsid w:val="001D353B"/>
    <w:rsid w:val="001E36BC"/>
    <w:rsid w:val="001E5B66"/>
    <w:rsid w:val="001E5E42"/>
    <w:rsid w:val="001E79C6"/>
    <w:rsid w:val="001E7CE2"/>
    <w:rsid w:val="002006DF"/>
    <w:rsid w:val="002018DB"/>
    <w:rsid w:val="002027AE"/>
    <w:rsid w:val="00203926"/>
    <w:rsid w:val="00210E27"/>
    <w:rsid w:val="00210EF4"/>
    <w:rsid w:val="00230BFC"/>
    <w:rsid w:val="00233D1A"/>
    <w:rsid w:val="002455ED"/>
    <w:rsid w:val="002615A3"/>
    <w:rsid w:val="00262C5C"/>
    <w:rsid w:val="00270C38"/>
    <w:rsid w:val="00274389"/>
    <w:rsid w:val="00277BFC"/>
    <w:rsid w:val="00292B3A"/>
    <w:rsid w:val="002937AD"/>
    <w:rsid w:val="0029644F"/>
    <w:rsid w:val="002B5711"/>
    <w:rsid w:val="002D3E92"/>
    <w:rsid w:val="002D59AA"/>
    <w:rsid w:val="002F4200"/>
    <w:rsid w:val="002F5FD4"/>
    <w:rsid w:val="002F6FC4"/>
    <w:rsid w:val="0030228F"/>
    <w:rsid w:val="0030721C"/>
    <w:rsid w:val="003106D3"/>
    <w:rsid w:val="00322646"/>
    <w:rsid w:val="00331F12"/>
    <w:rsid w:val="00345C2C"/>
    <w:rsid w:val="00350315"/>
    <w:rsid w:val="003503DD"/>
    <w:rsid w:val="0035210E"/>
    <w:rsid w:val="00352E6A"/>
    <w:rsid w:val="00356D05"/>
    <w:rsid w:val="00375791"/>
    <w:rsid w:val="00387436"/>
    <w:rsid w:val="0039587B"/>
    <w:rsid w:val="00397BB1"/>
    <w:rsid w:val="003A2029"/>
    <w:rsid w:val="003C33D3"/>
    <w:rsid w:val="003C3A76"/>
    <w:rsid w:val="003C4B4C"/>
    <w:rsid w:val="003F1F65"/>
    <w:rsid w:val="003F7568"/>
    <w:rsid w:val="00400429"/>
    <w:rsid w:val="00401152"/>
    <w:rsid w:val="0040325E"/>
    <w:rsid w:val="00407BFD"/>
    <w:rsid w:val="00412759"/>
    <w:rsid w:val="00416FF1"/>
    <w:rsid w:val="004312E9"/>
    <w:rsid w:val="00436215"/>
    <w:rsid w:val="00456914"/>
    <w:rsid w:val="00462684"/>
    <w:rsid w:val="00485788"/>
    <w:rsid w:val="00496847"/>
    <w:rsid w:val="004C1289"/>
    <w:rsid w:val="004D6564"/>
    <w:rsid w:val="004D7E97"/>
    <w:rsid w:val="004E0584"/>
    <w:rsid w:val="004F5871"/>
    <w:rsid w:val="004F5F27"/>
    <w:rsid w:val="00501CD5"/>
    <w:rsid w:val="00524669"/>
    <w:rsid w:val="00524798"/>
    <w:rsid w:val="00526861"/>
    <w:rsid w:val="0053591F"/>
    <w:rsid w:val="00537DA4"/>
    <w:rsid w:val="005420A0"/>
    <w:rsid w:val="00542921"/>
    <w:rsid w:val="00544D4A"/>
    <w:rsid w:val="0055276D"/>
    <w:rsid w:val="00552844"/>
    <w:rsid w:val="00553D76"/>
    <w:rsid w:val="00554B2C"/>
    <w:rsid w:val="00565A15"/>
    <w:rsid w:val="005807CA"/>
    <w:rsid w:val="00582151"/>
    <w:rsid w:val="005A18DC"/>
    <w:rsid w:val="005A3102"/>
    <w:rsid w:val="005D5DB0"/>
    <w:rsid w:val="005E14A4"/>
    <w:rsid w:val="005E5CEE"/>
    <w:rsid w:val="006067A0"/>
    <w:rsid w:val="006109B2"/>
    <w:rsid w:val="00616681"/>
    <w:rsid w:val="006179E6"/>
    <w:rsid w:val="006245AA"/>
    <w:rsid w:val="00626DB5"/>
    <w:rsid w:val="006270B0"/>
    <w:rsid w:val="00627B0B"/>
    <w:rsid w:val="0064751D"/>
    <w:rsid w:val="00652C72"/>
    <w:rsid w:val="00677FE4"/>
    <w:rsid w:val="00690792"/>
    <w:rsid w:val="00697954"/>
    <w:rsid w:val="006A4EC2"/>
    <w:rsid w:val="006B3854"/>
    <w:rsid w:val="006C31B3"/>
    <w:rsid w:val="006C66CA"/>
    <w:rsid w:val="006C7AAF"/>
    <w:rsid w:val="006D529C"/>
    <w:rsid w:val="006E3815"/>
    <w:rsid w:val="006E6E66"/>
    <w:rsid w:val="006F51B1"/>
    <w:rsid w:val="00722A90"/>
    <w:rsid w:val="007338F7"/>
    <w:rsid w:val="007367B3"/>
    <w:rsid w:val="007435BF"/>
    <w:rsid w:val="00745B3F"/>
    <w:rsid w:val="0075188F"/>
    <w:rsid w:val="00753288"/>
    <w:rsid w:val="007548ED"/>
    <w:rsid w:val="007760D9"/>
    <w:rsid w:val="00782AF9"/>
    <w:rsid w:val="00785F20"/>
    <w:rsid w:val="00786F36"/>
    <w:rsid w:val="007B46CF"/>
    <w:rsid w:val="007D28F2"/>
    <w:rsid w:val="007D5A2C"/>
    <w:rsid w:val="007E016B"/>
    <w:rsid w:val="007E5FF0"/>
    <w:rsid w:val="007F1690"/>
    <w:rsid w:val="007F2BC8"/>
    <w:rsid w:val="007F3395"/>
    <w:rsid w:val="008016FD"/>
    <w:rsid w:val="0081611B"/>
    <w:rsid w:val="00824FEE"/>
    <w:rsid w:val="00826958"/>
    <w:rsid w:val="00830950"/>
    <w:rsid w:val="00833589"/>
    <w:rsid w:val="00837B84"/>
    <w:rsid w:val="00844198"/>
    <w:rsid w:val="00850820"/>
    <w:rsid w:val="00853745"/>
    <w:rsid w:val="00861AAB"/>
    <w:rsid w:val="008766DA"/>
    <w:rsid w:val="008A4A98"/>
    <w:rsid w:val="008A4B98"/>
    <w:rsid w:val="008A600C"/>
    <w:rsid w:val="008A7808"/>
    <w:rsid w:val="008A7F03"/>
    <w:rsid w:val="008B19B3"/>
    <w:rsid w:val="008B2700"/>
    <w:rsid w:val="008B7D96"/>
    <w:rsid w:val="008C025C"/>
    <w:rsid w:val="008C33D8"/>
    <w:rsid w:val="008F1619"/>
    <w:rsid w:val="00902FBA"/>
    <w:rsid w:val="009223E5"/>
    <w:rsid w:val="00923EE6"/>
    <w:rsid w:val="00941D4A"/>
    <w:rsid w:val="00961AA5"/>
    <w:rsid w:val="009621C7"/>
    <w:rsid w:val="00962A38"/>
    <w:rsid w:val="009720E6"/>
    <w:rsid w:val="009845DD"/>
    <w:rsid w:val="009A3D1A"/>
    <w:rsid w:val="009A7A36"/>
    <w:rsid w:val="009B2A3C"/>
    <w:rsid w:val="009E20BB"/>
    <w:rsid w:val="009E5AE4"/>
    <w:rsid w:val="009E7182"/>
    <w:rsid w:val="009E7DBA"/>
    <w:rsid w:val="00A031D0"/>
    <w:rsid w:val="00A04200"/>
    <w:rsid w:val="00A057F3"/>
    <w:rsid w:val="00A11118"/>
    <w:rsid w:val="00A20275"/>
    <w:rsid w:val="00A2370F"/>
    <w:rsid w:val="00A274EF"/>
    <w:rsid w:val="00A31A52"/>
    <w:rsid w:val="00A40DBB"/>
    <w:rsid w:val="00A434E7"/>
    <w:rsid w:val="00A46152"/>
    <w:rsid w:val="00A53A99"/>
    <w:rsid w:val="00A54C55"/>
    <w:rsid w:val="00A72803"/>
    <w:rsid w:val="00A81B9C"/>
    <w:rsid w:val="00A82E25"/>
    <w:rsid w:val="00A87641"/>
    <w:rsid w:val="00AC6CE4"/>
    <w:rsid w:val="00AC780F"/>
    <w:rsid w:val="00AD041E"/>
    <w:rsid w:val="00AE3D25"/>
    <w:rsid w:val="00AE4891"/>
    <w:rsid w:val="00AF0578"/>
    <w:rsid w:val="00AF2FB7"/>
    <w:rsid w:val="00B14FBC"/>
    <w:rsid w:val="00B2069F"/>
    <w:rsid w:val="00B25B7F"/>
    <w:rsid w:val="00B2680E"/>
    <w:rsid w:val="00B30B53"/>
    <w:rsid w:val="00B3627B"/>
    <w:rsid w:val="00B457B5"/>
    <w:rsid w:val="00B56D47"/>
    <w:rsid w:val="00B63968"/>
    <w:rsid w:val="00B700AC"/>
    <w:rsid w:val="00B850C5"/>
    <w:rsid w:val="00B93162"/>
    <w:rsid w:val="00BA216F"/>
    <w:rsid w:val="00BA6CAD"/>
    <w:rsid w:val="00BD122D"/>
    <w:rsid w:val="00BD51AD"/>
    <w:rsid w:val="00BD7E6B"/>
    <w:rsid w:val="00C10C6F"/>
    <w:rsid w:val="00C1137D"/>
    <w:rsid w:val="00C125C0"/>
    <w:rsid w:val="00C14631"/>
    <w:rsid w:val="00C15D6F"/>
    <w:rsid w:val="00C22F1A"/>
    <w:rsid w:val="00C25A9C"/>
    <w:rsid w:val="00C30E21"/>
    <w:rsid w:val="00C42304"/>
    <w:rsid w:val="00C47001"/>
    <w:rsid w:val="00C50B1B"/>
    <w:rsid w:val="00C513B6"/>
    <w:rsid w:val="00C56907"/>
    <w:rsid w:val="00C61268"/>
    <w:rsid w:val="00C6528C"/>
    <w:rsid w:val="00C80189"/>
    <w:rsid w:val="00C87F05"/>
    <w:rsid w:val="00CA0AB6"/>
    <w:rsid w:val="00CA1201"/>
    <w:rsid w:val="00CB04D6"/>
    <w:rsid w:val="00CC2EE0"/>
    <w:rsid w:val="00CC681A"/>
    <w:rsid w:val="00CD3D55"/>
    <w:rsid w:val="00CF7CB2"/>
    <w:rsid w:val="00D10468"/>
    <w:rsid w:val="00D12D25"/>
    <w:rsid w:val="00D13EF7"/>
    <w:rsid w:val="00D169BE"/>
    <w:rsid w:val="00D17A7F"/>
    <w:rsid w:val="00D35E76"/>
    <w:rsid w:val="00D366D9"/>
    <w:rsid w:val="00D40DB4"/>
    <w:rsid w:val="00D4326F"/>
    <w:rsid w:val="00D43913"/>
    <w:rsid w:val="00D47BA6"/>
    <w:rsid w:val="00D56BDD"/>
    <w:rsid w:val="00D65E52"/>
    <w:rsid w:val="00D82298"/>
    <w:rsid w:val="00D8241C"/>
    <w:rsid w:val="00D85891"/>
    <w:rsid w:val="00D95028"/>
    <w:rsid w:val="00DA1C44"/>
    <w:rsid w:val="00DB160A"/>
    <w:rsid w:val="00DB574B"/>
    <w:rsid w:val="00DB634E"/>
    <w:rsid w:val="00DC0C35"/>
    <w:rsid w:val="00DC10D0"/>
    <w:rsid w:val="00DC4F6F"/>
    <w:rsid w:val="00DE337F"/>
    <w:rsid w:val="00DF6001"/>
    <w:rsid w:val="00DF66B3"/>
    <w:rsid w:val="00E00ACA"/>
    <w:rsid w:val="00E01AC7"/>
    <w:rsid w:val="00E0274D"/>
    <w:rsid w:val="00E05DDA"/>
    <w:rsid w:val="00E13951"/>
    <w:rsid w:val="00E244D9"/>
    <w:rsid w:val="00E43EBD"/>
    <w:rsid w:val="00E5376D"/>
    <w:rsid w:val="00E549A5"/>
    <w:rsid w:val="00E6515B"/>
    <w:rsid w:val="00E70034"/>
    <w:rsid w:val="00E76D37"/>
    <w:rsid w:val="00E87F43"/>
    <w:rsid w:val="00E91C96"/>
    <w:rsid w:val="00E947F8"/>
    <w:rsid w:val="00E94EC8"/>
    <w:rsid w:val="00EA2956"/>
    <w:rsid w:val="00EB0AB6"/>
    <w:rsid w:val="00EB343B"/>
    <w:rsid w:val="00EC088E"/>
    <w:rsid w:val="00EC1453"/>
    <w:rsid w:val="00EC16D8"/>
    <w:rsid w:val="00EC5E9D"/>
    <w:rsid w:val="00EC712B"/>
    <w:rsid w:val="00ED149C"/>
    <w:rsid w:val="00EE1D55"/>
    <w:rsid w:val="00EF1B83"/>
    <w:rsid w:val="00EF21A9"/>
    <w:rsid w:val="00EF52B4"/>
    <w:rsid w:val="00F061FF"/>
    <w:rsid w:val="00F16B61"/>
    <w:rsid w:val="00F30ED7"/>
    <w:rsid w:val="00F317FD"/>
    <w:rsid w:val="00F32BE5"/>
    <w:rsid w:val="00F3590E"/>
    <w:rsid w:val="00F515DE"/>
    <w:rsid w:val="00F55B76"/>
    <w:rsid w:val="00F64BC3"/>
    <w:rsid w:val="00F65AB7"/>
    <w:rsid w:val="00F678EE"/>
    <w:rsid w:val="00F75255"/>
    <w:rsid w:val="00FA1844"/>
    <w:rsid w:val="00FA49B6"/>
    <w:rsid w:val="00FB04EE"/>
    <w:rsid w:val="00FB76CC"/>
    <w:rsid w:val="00FC4BF4"/>
    <w:rsid w:val="00FC4C7A"/>
    <w:rsid w:val="00FC5946"/>
    <w:rsid w:val="00FE5187"/>
    <w:rsid w:val="00FE7F68"/>
    <w:rsid w:val="00FF5E81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94ACC"/>
  <w15:chartTrackingRefBased/>
  <w15:docId w15:val="{C5F9A3F8-A706-4345-BF5F-E5F6FC1B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s-E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240"/>
      <w:jc w:val="center"/>
      <w:outlineLvl w:val="1"/>
    </w:pPr>
    <w:rPr>
      <w:color w:val="0000FF"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462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A4A98"/>
    <w:rPr>
      <w:snapToGrid w:val="0"/>
      <w:sz w:val="24"/>
      <w:lang w:val="es-CR" w:eastAsia="es-ES"/>
    </w:rPr>
  </w:style>
  <w:style w:type="character" w:customStyle="1" w:styleId="FooterChar">
    <w:name w:val="Footer Char"/>
    <w:link w:val="Footer"/>
    <w:uiPriority w:val="99"/>
    <w:rsid w:val="00D12D25"/>
    <w:rPr>
      <w:snapToGrid w:val="0"/>
      <w:sz w:val="24"/>
      <w:lang w:val="es-CR"/>
    </w:rPr>
  </w:style>
  <w:style w:type="paragraph" w:styleId="ListParagraph">
    <w:name w:val="List Paragraph"/>
    <w:basedOn w:val="Normal"/>
    <w:uiPriority w:val="34"/>
    <w:qFormat/>
    <w:rsid w:val="00A434E7"/>
    <w:pPr>
      <w:ind w:left="708"/>
    </w:pPr>
  </w:style>
  <w:style w:type="paragraph" w:styleId="BalloonText">
    <w:name w:val="Balloon Text"/>
    <w:basedOn w:val="Normal"/>
    <w:link w:val="BalloonTextChar"/>
    <w:rsid w:val="00722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2A90"/>
    <w:rPr>
      <w:rFonts w:ascii="Segoe UI" w:hAnsi="Segoe UI" w:cs="Segoe UI"/>
      <w:snapToGrid w:val="0"/>
      <w:sz w:val="18"/>
      <w:szCs w:val="18"/>
      <w:lang w:eastAsia="es-ES"/>
    </w:rPr>
  </w:style>
  <w:style w:type="paragraph" w:customStyle="1" w:styleId="MyStile">
    <w:name w:val="My Stile"/>
    <w:basedOn w:val="Normal"/>
    <w:qFormat/>
    <w:rsid w:val="0035210E"/>
    <w:pPr>
      <w:jc w:val="center"/>
    </w:pPr>
    <w:rPr>
      <w:rFonts w:ascii="Tahoma" w:hAnsi="Tahoma" w:cs="Tahoma"/>
      <w:b/>
      <w:snapToGrid/>
      <w:sz w:val="22"/>
      <w:szCs w:val="22"/>
      <w:lang w:eastAsia="en-US"/>
    </w:rPr>
  </w:style>
  <w:style w:type="paragraph" w:customStyle="1" w:styleId="Default">
    <w:name w:val="Default"/>
    <w:rsid w:val="00EF52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745B3F"/>
    <w:pPr>
      <w:spacing w:before="100" w:beforeAutospacing="1" w:after="100" w:afterAutospacing="1"/>
    </w:pPr>
    <w:rPr>
      <w:snapToGrid/>
      <w:szCs w:val="24"/>
      <w:lang w:val="es-ES"/>
    </w:rPr>
  </w:style>
  <w:style w:type="paragraph" w:styleId="Revision">
    <w:name w:val="Revision"/>
    <w:hidden/>
    <w:uiPriority w:val="99"/>
    <w:semiHidden/>
    <w:rsid w:val="00E05DDA"/>
    <w:rPr>
      <w:snapToGrid w:val="0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AE46E5276BA4458ED59764349F8848" ma:contentTypeVersion="25" ma:contentTypeDescription="Crear nuevo documento." ma:contentTypeScope="" ma:versionID="28cbf70c59a8a528bd1f41f51fd5a96c">
  <xsd:schema xmlns:xsd="http://www.w3.org/2001/XMLSchema" xmlns:xs="http://www.w3.org/2001/XMLSchema" xmlns:p="http://schemas.microsoft.com/office/2006/metadata/properties" xmlns:ns2="a481c175-3de8-4557-8258-60cd90f8d2d2" xmlns:ns3="635f5ac5-4bb3-47f2-b46c-43fce9b9866f" targetNamespace="http://schemas.microsoft.com/office/2006/metadata/properties" ma:root="true" ma:fieldsID="3fbc4e7883cd0c11769ff02915e113f5" ns2:_="" ns3:_="">
    <xsd:import namespace="a481c175-3de8-4557-8258-60cd90f8d2d2"/>
    <xsd:import namespace="635f5ac5-4bb3-47f2-b46c-43fce9b98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Elaborado" minOccurs="0"/>
                <xsd:element ref="ns2:Usuario" minOccurs="0"/>
                <xsd:element ref="ns2:Dirigidoa" minOccurs="0"/>
                <xsd:element ref="ns2:FechayHora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1c175-3de8-4557-8258-60cd90f8d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Estado de aprobación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laborado" ma:index="21" nillable="true" ma:displayName="Elaborado" ma:default="XJ" ma:description="XJ&#10;SB" ma:format="Dropdown" ma:internalName="Elaborado">
      <xsd:simpleType>
        <xsd:restriction base="dms:Text">
          <xsd:maxLength value="255"/>
        </xsd:restriction>
      </xsd:simpleType>
    </xsd:element>
    <xsd:element name="Usuario" ma:index="22" nillable="true" ma:displayName="Usuario" ma:default="JD" ma:format="Dropdown" ma:internalName="Usuario">
      <xsd:simpleType>
        <xsd:restriction base="dms:Text">
          <xsd:maxLength value="255"/>
        </xsd:restriction>
      </xsd:simpleType>
    </xsd:element>
    <xsd:element name="Dirigidoa" ma:index="23" nillable="true" ma:displayName="Dirigido a" ma:default="Junta Directiva" ma:description="Junta Directiva&#10;Dirección General&#10;Comité Administrativo&#10;Dirección Operaciones&#10;Dirección Legal&#10;Dirección TI&#10;Dirección Auditoría" ma:format="Dropdown" ma:internalName="Dirigidoa">
      <xsd:simpleType>
        <xsd:restriction base="dms:Text">
          <xsd:maxLength value="255"/>
        </xsd:restriction>
      </xsd:simpleType>
    </xsd:element>
    <xsd:element name="FechayHora" ma:index="24" nillable="true" ma:displayName="Fecha y Hora" ma:format="DateOnly" ma:internalName="FechayHora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Etiquetas de imagen" ma:readOnly="false" ma:fieldId="{5cf76f15-5ced-4ddc-b409-7134ff3c332f}" ma:taxonomyMulti="true" ma:sspId="4f416598-6b00-49af-b47e-268beb6af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f5ac5-4bb3-47f2-b46c-43fce9b98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059bc31-cef7-4147-9ebf-96c92f8c3599}" ma:internalName="TaxCatchAll" ma:showField="CatchAllData" ma:web="635f5ac5-4bb3-47f2-b46c-43fce9b98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5f5ac5-4bb3-47f2-b46c-43fce9b9866f" xsi:nil="true"/>
    <lcf76f155ced4ddcb4097134ff3c332f xmlns="a481c175-3de8-4557-8258-60cd90f8d2d2">
      <Terms xmlns="http://schemas.microsoft.com/office/infopath/2007/PartnerControls"/>
    </lcf76f155ced4ddcb4097134ff3c332f>
    <_Flow_SignoffStatus xmlns="a481c175-3de8-4557-8258-60cd90f8d2d2" xsi:nil="true"/>
    <Dirigidoa xmlns="a481c175-3de8-4557-8258-60cd90f8d2d2">Junta Directiva</Dirigidoa>
    <Elaborado xmlns="a481c175-3de8-4557-8258-60cd90f8d2d2">XJ</Elaborado>
    <Usuario xmlns="a481c175-3de8-4557-8258-60cd90f8d2d2">JD</Usuario>
    <FechayHora xmlns="a481c175-3de8-4557-8258-60cd90f8d2d2" xsi:nil="true"/>
    <SharedWithUsers xmlns="635f5ac5-4bb3-47f2-b46c-43fce9b9866f">
      <UserInfo>
        <DisplayName/>
        <AccountId xsi:nil="true"/>
        <AccountType/>
      </UserInfo>
    </SharedWithUsers>
    <MediaLengthInSeconds xmlns="a481c175-3de8-4557-8258-60cd90f8d2d2" xsi:nil="true"/>
  </documentManagement>
</p:properties>
</file>

<file path=customXml/itemProps1.xml><?xml version="1.0" encoding="utf-8"?>
<ds:datastoreItem xmlns:ds="http://schemas.openxmlformats.org/officeDocument/2006/customXml" ds:itemID="{66378F1E-9DFF-45D4-A38A-E780248B4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505CE-ED09-4656-9067-6215E14E2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1c175-3de8-4557-8258-60cd90f8d2d2"/>
    <ds:schemaRef ds:uri="635f5ac5-4bb3-47f2-b46c-43fce9b98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F1434-2CD6-4A42-B9EF-D374DF35561C}">
  <ds:schemaRefs>
    <ds:schemaRef ds:uri="http://schemas.microsoft.com/office/2006/metadata/properties"/>
    <ds:schemaRef ds:uri="http://schemas.microsoft.com/office/infopath/2007/PartnerControls"/>
    <ds:schemaRef ds:uri="635f5ac5-4bb3-47f2-b46c-43fce9b9866f"/>
    <ds:schemaRef ds:uri="a481c175-3de8-4557-8258-60cd90f8d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B.GO-CP01-PL11</vt:lpstr>
      <vt:lpstr>CÓDIGO</vt:lpstr>
    </vt:vector>
  </TitlesOfParts>
  <Company>CEGESTI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B.GO-CP01-PL11</dc:title>
  <dc:subject>Política Continuidad de Negocio</dc:subject>
  <dc:creator>Mauricio Solano Gutiérrez</dc:creator>
  <cp:keywords/>
  <cp:lastModifiedBy>Susana Bermúdez Jiménez</cp:lastModifiedBy>
  <cp:revision>25</cp:revision>
  <cp:lastPrinted>2011-11-14T16:11:00Z</cp:lastPrinted>
  <dcterms:created xsi:type="dcterms:W3CDTF">2023-06-10T01:54:00Z</dcterms:created>
  <dcterms:modified xsi:type="dcterms:W3CDTF">2024-09-03T23:45:00Z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0x01010060AE46E5276BA4458ED59764349F8848</vt:lpwstr>
  </property>
  <property fmtid="{D5CDD505-2E9C-101B-9397-08002B2CF9AE}" pid="3" name="MediaServiceImageTags">
    <vt:lpwstr/>
  </property>
  <property fmtid="{D5CDD505-2E9C-101B-9397-08002B2CF9AE}" pid="4" name="Order">
    <vt:r8>32525800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