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47263" w14:textId="074D5A14" w:rsidR="00470AC7" w:rsidRDefault="00D2452A" w:rsidP="00470AC7">
      <w:pPr>
        <w:spacing w:after="120" w:line="360" w:lineRule="auto"/>
        <w:contextualSpacing/>
        <w:rPr>
          <w:rFonts w:ascii="Palatino Linotype" w:hAnsi="Palatino Linotype" w:cstheme="minorHAnsi"/>
          <w:sz w:val="22"/>
          <w:szCs w:val="22"/>
          <w:lang w:val="es-MX"/>
        </w:rPr>
      </w:pPr>
      <w:r>
        <w:rPr>
          <w:rFonts w:ascii="Palatino Linotype" w:hAnsi="Palatino Linotype" w:cstheme="minorHAnsi"/>
          <w:sz w:val="22"/>
          <w:szCs w:val="22"/>
          <w:lang w:val="es-MX"/>
        </w:rPr>
        <w:t xml:space="preserve">El </w:t>
      </w:r>
      <w:r w:rsidR="00D32772">
        <w:rPr>
          <w:rFonts w:ascii="Palatino Linotype" w:hAnsi="Palatino Linotype" w:cstheme="minorHAnsi"/>
          <w:sz w:val="22"/>
          <w:szCs w:val="22"/>
          <w:lang w:val="es-MX"/>
        </w:rPr>
        <w:t>G</w:t>
      </w:r>
      <w:r>
        <w:rPr>
          <w:rFonts w:ascii="Palatino Linotype" w:hAnsi="Palatino Linotype" w:cstheme="minorHAnsi"/>
          <w:sz w:val="22"/>
          <w:szCs w:val="22"/>
          <w:lang w:val="es-MX"/>
        </w:rPr>
        <w:t xml:space="preserve">rupo </w:t>
      </w:r>
      <w:r w:rsidR="00D32772">
        <w:rPr>
          <w:rFonts w:ascii="Palatino Linotype" w:hAnsi="Palatino Linotype" w:cstheme="minorHAnsi"/>
          <w:sz w:val="22"/>
          <w:szCs w:val="22"/>
          <w:lang w:val="es-MX"/>
        </w:rPr>
        <w:t xml:space="preserve">Financiero </w:t>
      </w:r>
      <w:r>
        <w:rPr>
          <w:rFonts w:ascii="Palatino Linotype" w:hAnsi="Palatino Linotype" w:cstheme="minorHAnsi"/>
          <w:sz w:val="22"/>
          <w:szCs w:val="22"/>
          <w:lang w:val="es-MX"/>
        </w:rPr>
        <w:t>Bolsa Nacional de</w:t>
      </w:r>
      <w:r w:rsidR="00CD50BD" w:rsidRPr="003E6B48">
        <w:rPr>
          <w:rFonts w:ascii="Palatino Linotype" w:hAnsi="Palatino Linotype" w:cstheme="minorHAnsi"/>
          <w:sz w:val="22"/>
          <w:szCs w:val="22"/>
          <w:lang w:val="es-MX"/>
        </w:rPr>
        <w:t xml:space="preserve"> </w:t>
      </w:r>
      <w:r w:rsidR="0003768F" w:rsidRPr="003E6B48">
        <w:rPr>
          <w:rFonts w:ascii="Palatino Linotype" w:hAnsi="Palatino Linotype" w:cstheme="minorHAnsi"/>
          <w:sz w:val="22"/>
          <w:szCs w:val="22"/>
          <w:lang w:val="es-MX"/>
        </w:rPr>
        <w:t>Valores,</w:t>
      </w:r>
      <w:r w:rsidR="007D2698" w:rsidRPr="003E6B48">
        <w:rPr>
          <w:rFonts w:ascii="Palatino Linotype" w:hAnsi="Palatino Linotype" w:cstheme="minorHAnsi"/>
          <w:sz w:val="22"/>
          <w:szCs w:val="22"/>
          <w:lang w:val="es-MX"/>
        </w:rPr>
        <w:t xml:space="preserve"> </w:t>
      </w:r>
      <w:r w:rsidR="00B466C0">
        <w:rPr>
          <w:rFonts w:ascii="Palatino Linotype" w:hAnsi="Palatino Linotype" w:cstheme="minorHAnsi"/>
          <w:sz w:val="22"/>
          <w:szCs w:val="22"/>
          <w:lang w:val="es-MX"/>
        </w:rPr>
        <w:t xml:space="preserve">con el fin de fortalecer la confianza del servicio que </w:t>
      </w:r>
      <w:r w:rsidR="00EB3606">
        <w:rPr>
          <w:rFonts w:ascii="Palatino Linotype" w:hAnsi="Palatino Linotype" w:cstheme="minorHAnsi"/>
          <w:sz w:val="22"/>
          <w:szCs w:val="22"/>
          <w:lang w:val="es-MX"/>
        </w:rPr>
        <w:t>brindan</w:t>
      </w:r>
      <w:r w:rsidR="00B466C0">
        <w:rPr>
          <w:rFonts w:ascii="Palatino Linotype" w:hAnsi="Palatino Linotype" w:cstheme="minorHAnsi"/>
          <w:sz w:val="22"/>
          <w:szCs w:val="22"/>
          <w:lang w:val="es-MX"/>
        </w:rPr>
        <w:t xml:space="preserve"> las empresas relacionadas</w:t>
      </w:r>
      <w:r w:rsidR="00EB3606">
        <w:rPr>
          <w:rFonts w:ascii="Palatino Linotype" w:hAnsi="Palatino Linotype" w:cstheme="minorHAnsi"/>
          <w:sz w:val="22"/>
          <w:szCs w:val="22"/>
          <w:lang w:val="es-MX"/>
        </w:rPr>
        <w:t>,</w:t>
      </w:r>
      <w:r w:rsidR="001E7958">
        <w:rPr>
          <w:rFonts w:ascii="Palatino Linotype" w:hAnsi="Palatino Linotype" w:cstheme="minorHAnsi"/>
          <w:sz w:val="22"/>
          <w:szCs w:val="22"/>
          <w:lang w:val="es-MX"/>
        </w:rPr>
        <w:t xml:space="preserve"> </w:t>
      </w:r>
      <w:r w:rsidR="00EB3606">
        <w:rPr>
          <w:rFonts w:ascii="Palatino Linotype" w:hAnsi="Palatino Linotype" w:cstheme="minorHAnsi"/>
          <w:sz w:val="22"/>
          <w:szCs w:val="22"/>
          <w:lang w:val="es-MX"/>
        </w:rPr>
        <w:t xml:space="preserve">promover </w:t>
      </w:r>
      <w:r w:rsidR="001E7958">
        <w:rPr>
          <w:rFonts w:ascii="Palatino Linotype" w:hAnsi="Palatino Linotype" w:cstheme="minorHAnsi"/>
          <w:sz w:val="22"/>
          <w:szCs w:val="22"/>
          <w:lang w:val="es-MX"/>
        </w:rPr>
        <w:t>la estabilidad y transparencia de los procesos,</w:t>
      </w:r>
      <w:r w:rsidR="0089309A">
        <w:rPr>
          <w:rFonts w:ascii="Palatino Linotype" w:hAnsi="Palatino Linotype" w:cstheme="minorHAnsi"/>
          <w:sz w:val="22"/>
          <w:szCs w:val="22"/>
          <w:lang w:val="es-MX"/>
        </w:rPr>
        <w:t xml:space="preserve"> </w:t>
      </w:r>
      <w:r w:rsidR="0013377D">
        <w:rPr>
          <w:rFonts w:ascii="Palatino Linotype" w:hAnsi="Palatino Linotype" w:cstheme="minorHAnsi"/>
          <w:sz w:val="22"/>
          <w:szCs w:val="22"/>
          <w:lang w:val="es-MX"/>
        </w:rPr>
        <w:t xml:space="preserve">así como </w:t>
      </w:r>
      <w:r w:rsidR="00C52FAC">
        <w:rPr>
          <w:rFonts w:ascii="Palatino Linotype" w:hAnsi="Palatino Linotype" w:cstheme="minorHAnsi"/>
          <w:sz w:val="22"/>
          <w:szCs w:val="22"/>
          <w:lang w:val="es-MX"/>
        </w:rPr>
        <w:t xml:space="preserve">procurar </w:t>
      </w:r>
      <w:r w:rsidR="0089309A">
        <w:rPr>
          <w:rFonts w:ascii="Palatino Linotype" w:hAnsi="Palatino Linotype" w:cstheme="minorHAnsi"/>
          <w:sz w:val="22"/>
          <w:szCs w:val="22"/>
          <w:lang w:val="es-MX"/>
        </w:rPr>
        <w:t xml:space="preserve">razonablemente </w:t>
      </w:r>
      <w:r w:rsidR="00C52FAC">
        <w:rPr>
          <w:rFonts w:ascii="Palatino Linotype" w:hAnsi="Palatino Linotype" w:cstheme="minorHAnsi"/>
          <w:sz w:val="22"/>
          <w:szCs w:val="22"/>
          <w:lang w:val="es-MX"/>
        </w:rPr>
        <w:t>l</w:t>
      </w:r>
      <w:r w:rsidR="0089309A">
        <w:rPr>
          <w:rFonts w:ascii="Palatino Linotype" w:hAnsi="Palatino Linotype" w:cstheme="minorHAnsi"/>
          <w:sz w:val="22"/>
          <w:szCs w:val="22"/>
          <w:lang w:val="es-MX"/>
        </w:rPr>
        <w:t xml:space="preserve">a consecución de los objetivos </w:t>
      </w:r>
      <w:r w:rsidR="0013377D">
        <w:rPr>
          <w:rFonts w:ascii="Palatino Linotype" w:hAnsi="Palatino Linotype" w:cstheme="minorHAnsi"/>
          <w:sz w:val="22"/>
          <w:szCs w:val="22"/>
          <w:lang w:val="es-MX"/>
        </w:rPr>
        <w:t xml:space="preserve">estratégicos institucional, </w:t>
      </w:r>
      <w:r w:rsidR="00A10765">
        <w:rPr>
          <w:rFonts w:ascii="Palatino Linotype" w:hAnsi="Palatino Linotype" w:cstheme="minorHAnsi"/>
          <w:sz w:val="22"/>
          <w:szCs w:val="22"/>
          <w:lang w:val="es-MX"/>
        </w:rPr>
        <w:t xml:space="preserve">define </w:t>
      </w:r>
      <w:r w:rsidR="00B466C0">
        <w:rPr>
          <w:rFonts w:ascii="Palatino Linotype" w:hAnsi="Palatino Linotype" w:cstheme="minorHAnsi"/>
          <w:sz w:val="22"/>
          <w:szCs w:val="22"/>
          <w:lang w:val="es-MX"/>
        </w:rPr>
        <w:t xml:space="preserve">mediante </w:t>
      </w:r>
      <w:r w:rsidR="00A66700">
        <w:rPr>
          <w:rFonts w:ascii="Palatino Linotype" w:hAnsi="Palatino Linotype" w:cstheme="minorHAnsi"/>
          <w:sz w:val="22"/>
          <w:szCs w:val="22"/>
          <w:lang w:val="es-MX"/>
        </w:rPr>
        <w:t xml:space="preserve">esta política </w:t>
      </w:r>
      <w:r w:rsidR="00EB3606">
        <w:rPr>
          <w:rFonts w:ascii="Palatino Linotype" w:hAnsi="Palatino Linotype" w:cstheme="minorHAnsi"/>
          <w:sz w:val="22"/>
          <w:szCs w:val="22"/>
          <w:lang w:val="es-MX"/>
        </w:rPr>
        <w:t xml:space="preserve">las </w:t>
      </w:r>
      <w:r w:rsidR="00A66700">
        <w:rPr>
          <w:rFonts w:ascii="Palatino Linotype" w:hAnsi="Palatino Linotype" w:cstheme="minorHAnsi"/>
          <w:sz w:val="22"/>
          <w:szCs w:val="22"/>
          <w:lang w:val="es-MX"/>
        </w:rPr>
        <w:t xml:space="preserve">directrices para la gestión integral de </w:t>
      </w:r>
      <w:r w:rsidR="00936F3C">
        <w:rPr>
          <w:rFonts w:ascii="Palatino Linotype" w:hAnsi="Palatino Linotype" w:cstheme="minorHAnsi"/>
          <w:sz w:val="22"/>
          <w:szCs w:val="22"/>
          <w:lang w:val="es-MX"/>
        </w:rPr>
        <w:t xml:space="preserve">riesgos </w:t>
      </w:r>
      <w:r w:rsidR="00EB3606">
        <w:rPr>
          <w:rFonts w:ascii="Palatino Linotype" w:hAnsi="Palatino Linotype" w:cstheme="minorHAnsi"/>
          <w:sz w:val="22"/>
          <w:szCs w:val="22"/>
          <w:lang w:val="es-MX"/>
        </w:rPr>
        <w:t>de</w:t>
      </w:r>
      <w:r w:rsidR="00936F3C">
        <w:rPr>
          <w:rFonts w:ascii="Palatino Linotype" w:hAnsi="Palatino Linotype" w:cstheme="minorHAnsi"/>
          <w:sz w:val="22"/>
          <w:szCs w:val="22"/>
          <w:lang w:val="es-MX"/>
        </w:rPr>
        <w:t>l corporativo</w:t>
      </w:r>
      <w:r w:rsidR="00EB3606">
        <w:rPr>
          <w:rFonts w:ascii="Palatino Linotype" w:hAnsi="Palatino Linotype" w:cstheme="minorHAnsi"/>
          <w:sz w:val="22"/>
          <w:szCs w:val="22"/>
          <w:lang w:val="es-MX"/>
        </w:rPr>
        <w:t>.</w:t>
      </w:r>
      <w:r w:rsidR="00486841">
        <w:rPr>
          <w:rFonts w:ascii="Palatino Linotype" w:hAnsi="Palatino Linotype" w:cstheme="minorHAnsi"/>
          <w:sz w:val="22"/>
          <w:szCs w:val="22"/>
          <w:lang w:val="es-MX"/>
        </w:rPr>
        <w:t xml:space="preserve"> </w:t>
      </w:r>
      <w:r w:rsidR="00470AC7">
        <w:rPr>
          <w:rFonts w:ascii="Palatino Linotype" w:hAnsi="Palatino Linotype" w:cstheme="minorHAnsi"/>
          <w:sz w:val="22"/>
          <w:szCs w:val="22"/>
          <w:lang w:val="es-MX"/>
        </w:rPr>
        <w:t>P</w:t>
      </w:r>
      <w:r w:rsidR="00A10765">
        <w:rPr>
          <w:rFonts w:ascii="Palatino Linotype" w:hAnsi="Palatino Linotype" w:cstheme="minorHAnsi"/>
          <w:sz w:val="22"/>
          <w:szCs w:val="22"/>
          <w:lang w:val="es-MX"/>
        </w:rPr>
        <w:t xml:space="preserve">or lo que establece </w:t>
      </w:r>
      <w:r w:rsidR="00486841">
        <w:rPr>
          <w:rFonts w:ascii="Palatino Linotype" w:hAnsi="Palatino Linotype" w:cstheme="minorHAnsi"/>
          <w:sz w:val="22"/>
          <w:szCs w:val="22"/>
          <w:lang w:val="es-MX"/>
        </w:rPr>
        <w:t xml:space="preserve">para su </w:t>
      </w:r>
      <w:r w:rsidR="00A10765">
        <w:rPr>
          <w:rFonts w:ascii="Palatino Linotype" w:hAnsi="Palatino Linotype" w:cstheme="minorHAnsi"/>
          <w:sz w:val="22"/>
          <w:szCs w:val="22"/>
          <w:lang w:val="es-MX"/>
        </w:rPr>
        <w:t>cumplimiento</w:t>
      </w:r>
      <w:r w:rsidR="00470AC7">
        <w:rPr>
          <w:rFonts w:ascii="Palatino Linotype" w:hAnsi="Palatino Linotype" w:cstheme="minorHAnsi"/>
          <w:sz w:val="22"/>
          <w:szCs w:val="22"/>
          <w:lang w:val="es-MX"/>
        </w:rPr>
        <w:t>:</w:t>
      </w:r>
    </w:p>
    <w:p w14:paraId="648DAC78" w14:textId="6B9A9A35" w:rsidR="006F0F0F" w:rsidRPr="006F0F0F" w:rsidRDefault="00B122D8" w:rsidP="006F0F0F">
      <w:pPr>
        <w:pStyle w:val="ListParagraph"/>
        <w:numPr>
          <w:ilvl w:val="0"/>
          <w:numId w:val="4"/>
        </w:numPr>
        <w:spacing w:before="240" w:after="120" w:line="360" w:lineRule="auto"/>
        <w:rPr>
          <w:rFonts w:ascii="Palatino Linotype" w:hAnsi="Palatino Linotype" w:cstheme="minorHAnsi"/>
          <w:sz w:val="22"/>
          <w:szCs w:val="22"/>
          <w:lang w:val="es-MX"/>
        </w:rPr>
      </w:pPr>
      <w:r>
        <w:rPr>
          <w:rFonts w:ascii="Palatino Linotype" w:hAnsi="Palatino Linotype" w:cstheme="minorHAnsi"/>
          <w:sz w:val="22"/>
          <w:szCs w:val="22"/>
          <w:lang w:val="es-MX"/>
        </w:rPr>
        <w:t>D</w:t>
      </w:r>
      <w:r w:rsidR="00B730BD" w:rsidRPr="00B730BD">
        <w:rPr>
          <w:rFonts w:ascii="Palatino Linotype" w:hAnsi="Palatino Linotype" w:cstheme="minorHAnsi"/>
          <w:sz w:val="22"/>
          <w:szCs w:val="22"/>
          <w:lang w:val="es-MX"/>
        </w:rPr>
        <w:t>isponer de un Comité de Gestión de Riesgos</w:t>
      </w:r>
      <w:r>
        <w:rPr>
          <w:rFonts w:ascii="Palatino Linotype" w:hAnsi="Palatino Linotype" w:cstheme="minorHAnsi"/>
          <w:sz w:val="22"/>
          <w:szCs w:val="22"/>
          <w:lang w:val="es-MX"/>
        </w:rPr>
        <w:t xml:space="preserve"> Corporativo</w:t>
      </w:r>
      <w:r w:rsidR="00B730BD" w:rsidRPr="00B730BD">
        <w:rPr>
          <w:rFonts w:ascii="Palatino Linotype" w:hAnsi="Palatino Linotype" w:cstheme="minorHAnsi"/>
          <w:sz w:val="22"/>
          <w:szCs w:val="22"/>
          <w:lang w:val="es-MX"/>
        </w:rPr>
        <w:t>, como apoyo al Órgano de Dirección</w:t>
      </w:r>
      <w:r>
        <w:rPr>
          <w:rFonts w:ascii="Palatino Linotype" w:hAnsi="Palatino Linotype" w:cstheme="minorHAnsi"/>
          <w:sz w:val="22"/>
          <w:szCs w:val="22"/>
          <w:lang w:val="es-MX"/>
        </w:rPr>
        <w:t xml:space="preserve"> del Grupo Financiero Bolsa Nacional de Valores</w:t>
      </w:r>
      <w:r w:rsidR="00B730BD" w:rsidRPr="00B730BD">
        <w:rPr>
          <w:rFonts w:ascii="Palatino Linotype" w:hAnsi="Palatino Linotype" w:cstheme="minorHAnsi"/>
          <w:sz w:val="22"/>
          <w:szCs w:val="22"/>
          <w:lang w:val="es-MX"/>
        </w:rPr>
        <w:t xml:space="preserve">, cuyo funcionamiento estará definido a través de un reglamento que será revisado y actualizado según </w:t>
      </w:r>
      <w:r w:rsidR="00997FC6">
        <w:rPr>
          <w:rFonts w:ascii="Palatino Linotype" w:hAnsi="Palatino Linotype" w:cstheme="minorHAnsi"/>
          <w:sz w:val="22"/>
          <w:szCs w:val="22"/>
          <w:lang w:val="es-MX"/>
        </w:rPr>
        <w:t>el Lineamiento de Gestión Documental.</w:t>
      </w:r>
    </w:p>
    <w:p w14:paraId="5FCE31C9" w14:textId="351D1B4B" w:rsidR="00B730BD" w:rsidRPr="00B730BD" w:rsidRDefault="00B730BD" w:rsidP="00B730BD">
      <w:pPr>
        <w:pStyle w:val="ListParagraph"/>
        <w:numPr>
          <w:ilvl w:val="0"/>
          <w:numId w:val="4"/>
        </w:numPr>
        <w:spacing w:before="240" w:after="120" w:line="360" w:lineRule="auto"/>
        <w:rPr>
          <w:rFonts w:ascii="Palatino Linotype" w:hAnsi="Palatino Linotype" w:cstheme="minorHAnsi"/>
          <w:sz w:val="22"/>
          <w:szCs w:val="22"/>
          <w:lang w:val="es-MX"/>
        </w:rPr>
      </w:pPr>
      <w:r w:rsidRPr="00B730BD">
        <w:rPr>
          <w:rFonts w:ascii="Palatino Linotype" w:hAnsi="Palatino Linotype" w:cstheme="minorHAnsi"/>
          <w:sz w:val="22"/>
          <w:szCs w:val="22"/>
          <w:lang w:val="es-MX"/>
        </w:rPr>
        <w:t>Procur</w:t>
      </w:r>
      <w:r w:rsidR="00180EC5">
        <w:rPr>
          <w:rFonts w:ascii="Palatino Linotype" w:hAnsi="Palatino Linotype" w:cstheme="minorHAnsi"/>
          <w:sz w:val="22"/>
          <w:szCs w:val="22"/>
          <w:lang w:val="es-MX"/>
        </w:rPr>
        <w:t>ar</w:t>
      </w:r>
      <w:r w:rsidRPr="00B730BD">
        <w:rPr>
          <w:rFonts w:ascii="Palatino Linotype" w:hAnsi="Palatino Linotype" w:cstheme="minorHAnsi"/>
          <w:sz w:val="22"/>
          <w:szCs w:val="22"/>
          <w:lang w:val="es-MX"/>
        </w:rPr>
        <w:t xml:space="preserve"> dotar de recursos, independencia y autoridad a la Gerencia de Riesgos</w:t>
      </w:r>
      <w:r w:rsidR="005F10D7">
        <w:rPr>
          <w:rFonts w:ascii="Palatino Linotype" w:hAnsi="Palatino Linotype" w:cstheme="minorHAnsi"/>
          <w:sz w:val="22"/>
          <w:szCs w:val="22"/>
          <w:lang w:val="es-MX"/>
        </w:rPr>
        <w:t xml:space="preserve"> Corporativo </w:t>
      </w:r>
      <w:r w:rsidRPr="00B730BD">
        <w:rPr>
          <w:rFonts w:ascii="Palatino Linotype" w:hAnsi="Palatino Linotype" w:cstheme="minorHAnsi"/>
          <w:sz w:val="22"/>
          <w:szCs w:val="22"/>
          <w:lang w:val="es-MX"/>
        </w:rPr>
        <w:t>con el fin de garantizar la eficiente ejecución de las responsabilidades que le competen.</w:t>
      </w:r>
    </w:p>
    <w:p w14:paraId="7B6A6591" w14:textId="2A9D30C5" w:rsidR="001A6AC8" w:rsidRDefault="001A6AC8" w:rsidP="001A6AC8">
      <w:pPr>
        <w:pStyle w:val="ListParagraph"/>
        <w:numPr>
          <w:ilvl w:val="0"/>
          <w:numId w:val="4"/>
        </w:numPr>
        <w:spacing w:before="240" w:after="120" w:line="360" w:lineRule="auto"/>
        <w:rPr>
          <w:rFonts w:ascii="Palatino Linotype" w:hAnsi="Palatino Linotype" w:cstheme="minorHAnsi"/>
          <w:sz w:val="22"/>
          <w:szCs w:val="22"/>
          <w:lang w:val="es-MX"/>
        </w:rPr>
      </w:pPr>
      <w:r>
        <w:rPr>
          <w:rFonts w:ascii="Palatino Linotype" w:hAnsi="Palatino Linotype" w:cstheme="minorHAnsi"/>
          <w:sz w:val="22"/>
          <w:szCs w:val="22"/>
          <w:lang w:val="es-MX"/>
        </w:rPr>
        <w:t xml:space="preserve">Operar bajo los estándares internacionales de </w:t>
      </w:r>
      <w:r w:rsidR="00B122D8">
        <w:rPr>
          <w:rFonts w:ascii="Palatino Linotype" w:hAnsi="Palatino Linotype" w:cstheme="minorHAnsi"/>
          <w:sz w:val="22"/>
          <w:szCs w:val="22"/>
          <w:lang w:val="es-MX"/>
        </w:rPr>
        <w:t>Gestión de R</w:t>
      </w:r>
      <w:r>
        <w:rPr>
          <w:rFonts w:ascii="Palatino Linotype" w:hAnsi="Palatino Linotype" w:cstheme="minorHAnsi"/>
          <w:sz w:val="22"/>
          <w:szCs w:val="22"/>
          <w:lang w:val="es-MX"/>
        </w:rPr>
        <w:t>iesgo</w:t>
      </w:r>
      <w:r w:rsidR="00B122D8">
        <w:rPr>
          <w:rFonts w:ascii="Palatino Linotype" w:hAnsi="Palatino Linotype" w:cstheme="minorHAnsi"/>
          <w:sz w:val="22"/>
          <w:szCs w:val="22"/>
          <w:lang w:val="es-MX"/>
        </w:rPr>
        <w:t xml:space="preserve"> </w:t>
      </w:r>
      <w:r>
        <w:rPr>
          <w:rFonts w:ascii="Palatino Linotype" w:hAnsi="Palatino Linotype" w:cstheme="minorHAnsi"/>
          <w:sz w:val="22"/>
          <w:szCs w:val="22"/>
          <w:lang w:val="es-MX"/>
        </w:rPr>
        <w:t xml:space="preserve">y los Principios para las Infraestructuras del Mercado Financiero (PFMI), definido por el Banco Internacional de Pagos. </w:t>
      </w:r>
    </w:p>
    <w:p w14:paraId="4E986322" w14:textId="0754C67D" w:rsidR="00F233EA" w:rsidRDefault="001E163C" w:rsidP="00F233EA">
      <w:pPr>
        <w:pStyle w:val="ListParagraph"/>
        <w:numPr>
          <w:ilvl w:val="0"/>
          <w:numId w:val="4"/>
        </w:numPr>
        <w:spacing w:before="240" w:after="120" w:line="360" w:lineRule="auto"/>
        <w:rPr>
          <w:rFonts w:ascii="Palatino Linotype" w:hAnsi="Palatino Linotype" w:cstheme="minorHAnsi"/>
          <w:sz w:val="22"/>
          <w:szCs w:val="22"/>
          <w:lang w:val="es-MX"/>
        </w:rPr>
      </w:pPr>
      <w:r>
        <w:rPr>
          <w:rFonts w:ascii="Palatino Linotype" w:hAnsi="Palatino Linotype" w:cstheme="minorHAnsi"/>
          <w:sz w:val="22"/>
          <w:szCs w:val="22"/>
          <w:lang w:val="es-MX"/>
        </w:rPr>
        <w:t>Contar con un Sistema de Gestión Integral de Riesgos que permita</w:t>
      </w:r>
      <w:r w:rsidR="00C97B79">
        <w:rPr>
          <w:rFonts w:ascii="Palatino Linotype" w:hAnsi="Palatino Linotype" w:cstheme="minorHAnsi"/>
          <w:sz w:val="22"/>
          <w:szCs w:val="22"/>
          <w:lang w:val="es-MX"/>
        </w:rPr>
        <w:t xml:space="preserve"> la toma de </w:t>
      </w:r>
      <w:r w:rsidR="001A6AC8">
        <w:rPr>
          <w:rFonts w:ascii="Palatino Linotype" w:hAnsi="Palatino Linotype" w:cstheme="minorHAnsi"/>
          <w:sz w:val="22"/>
          <w:szCs w:val="22"/>
          <w:lang w:val="es-MX"/>
        </w:rPr>
        <w:t>decisiones informadas</w:t>
      </w:r>
      <w:r w:rsidR="00C97B79">
        <w:rPr>
          <w:rFonts w:ascii="Palatino Linotype" w:hAnsi="Palatino Linotype" w:cstheme="minorHAnsi"/>
          <w:sz w:val="22"/>
          <w:szCs w:val="22"/>
          <w:lang w:val="es-MX"/>
        </w:rPr>
        <w:t xml:space="preserve"> </w:t>
      </w:r>
      <w:r w:rsidR="005F10D7">
        <w:rPr>
          <w:rFonts w:ascii="Palatino Linotype" w:hAnsi="Palatino Linotype" w:cstheme="minorHAnsi"/>
          <w:sz w:val="22"/>
          <w:szCs w:val="22"/>
          <w:lang w:val="es-MX"/>
        </w:rPr>
        <w:t>en función de los riesgos a los que se puede estar expuesto</w:t>
      </w:r>
      <w:r w:rsidR="006F0F0F">
        <w:rPr>
          <w:rFonts w:ascii="Palatino Linotype" w:hAnsi="Palatino Linotype" w:cstheme="minorHAnsi"/>
          <w:sz w:val="22"/>
          <w:szCs w:val="22"/>
          <w:lang w:val="es-MX"/>
        </w:rPr>
        <w:t xml:space="preserve"> el Grupo Financiero Bolsa </w:t>
      </w:r>
      <w:r w:rsidR="006F0F0F" w:rsidRPr="00F233EA">
        <w:rPr>
          <w:rFonts w:ascii="Palatino Linotype" w:hAnsi="Palatino Linotype" w:cstheme="minorHAnsi"/>
          <w:sz w:val="22"/>
          <w:szCs w:val="22"/>
          <w:lang w:val="es-MX"/>
        </w:rPr>
        <w:t>Nacional de Valores</w:t>
      </w:r>
      <w:r w:rsidR="00C1586A">
        <w:rPr>
          <w:rFonts w:ascii="Palatino Linotype" w:hAnsi="Palatino Linotype" w:cstheme="minorHAnsi"/>
          <w:sz w:val="22"/>
          <w:szCs w:val="22"/>
          <w:lang w:val="es-MX"/>
        </w:rPr>
        <w:t xml:space="preserve"> y sus empresas relacionadas.</w:t>
      </w:r>
    </w:p>
    <w:p w14:paraId="652803C7" w14:textId="13C2A627" w:rsidR="00E609EE" w:rsidRDefault="004B28F4" w:rsidP="00E609EE">
      <w:pPr>
        <w:pStyle w:val="ListParagraph"/>
        <w:numPr>
          <w:ilvl w:val="0"/>
          <w:numId w:val="4"/>
        </w:numPr>
        <w:spacing w:before="240" w:after="120" w:line="360" w:lineRule="auto"/>
        <w:rPr>
          <w:rFonts w:ascii="Palatino Linotype" w:hAnsi="Palatino Linotype" w:cstheme="minorHAnsi"/>
          <w:sz w:val="22"/>
          <w:szCs w:val="22"/>
          <w:lang w:val="es-MX"/>
        </w:rPr>
      </w:pPr>
      <w:r>
        <w:rPr>
          <w:rFonts w:ascii="Palatino Linotype" w:hAnsi="Palatino Linotype" w:cstheme="minorHAnsi"/>
          <w:sz w:val="22"/>
          <w:szCs w:val="22"/>
          <w:lang w:val="es-MX"/>
        </w:rPr>
        <w:t xml:space="preserve">Contar con </w:t>
      </w:r>
      <w:r w:rsidR="00F233EA">
        <w:rPr>
          <w:rFonts w:ascii="Palatino Linotype" w:hAnsi="Palatino Linotype" w:cstheme="minorHAnsi"/>
          <w:sz w:val="22"/>
          <w:szCs w:val="22"/>
          <w:lang w:val="es-MX"/>
        </w:rPr>
        <w:t>un marco normativo claro que</w:t>
      </w:r>
      <w:r w:rsidR="00E609EE">
        <w:rPr>
          <w:rFonts w:ascii="Palatino Linotype" w:hAnsi="Palatino Linotype" w:cstheme="minorHAnsi"/>
          <w:sz w:val="22"/>
          <w:szCs w:val="22"/>
          <w:lang w:val="es-MX"/>
        </w:rPr>
        <w:t xml:space="preserve"> defina roles, responsabilidades y procesos para la gestión integral de riesgos del Grupo Financiero Bolsa </w:t>
      </w:r>
      <w:r w:rsidR="00E609EE" w:rsidRPr="00F233EA">
        <w:rPr>
          <w:rFonts w:ascii="Palatino Linotype" w:hAnsi="Palatino Linotype" w:cstheme="minorHAnsi"/>
          <w:sz w:val="22"/>
          <w:szCs w:val="22"/>
          <w:lang w:val="es-MX"/>
        </w:rPr>
        <w:t>Nacional de Valores.</w:t>
      </w:r>
    </w:p>
    <w:p w14:paraId="4F2C7C7C" w14:textId="77777777" w:rsidR="00E609EE" w:rsidRDefault="00E609EE" w:rsidP="00E609EE">
      <w:pPr>
        <w:pStyle w:val="ListParagraph"/>
        <w:numPr>
          <w:ilvl w:val="0"/>
          <w:numId w:val="4"/>
        </w:numPr>
        <w:spacing w:after="100" w:afterAutospacing="1" w:line="360" w:lineRule="auto"/>
        <w:contextualSpacing w:val="0"/>
        <w:rPr>
          <w:rFonts w:ascii="Palatino Linotype" w:hAnsi="Palatino Linotype" w:cstheme="minorHAnsi"/>
          <w:sz w:val="22"/>
          <w:szCs w:val="22"/>
          <w:lang w:val="es-MX"/>
        </w:rPr>
      </w:pPr>
      <w:r w:rsidRPr="003E6B48">
        <w:rPr>
          <w:rFonts w:ascii="Palatino Linotype" w:hAnsi="Palatino Linotype" w:cstheme="minorHAnsi"/>
          <w:sz w:val="22"/>
          <w:szCs w:val="22"/>
          <w:lang w:val="es-MX"/>
        </w:rPr>
        <w:t xml:space="preserve">Establecer los lineamientos necesarios para gestionar debidamente los diferentes tipos de riesgos que pueden afectar la eficiencia y </w:t>
      </w:r>
      <w:r w:rsidRPr="007A5FE8">
        <w:rPr>
          <w:rFonts w:ascii="Palatino Linotype" w:hAnsi="Palatino Linotype" w:cstheme="minorHAnsi"/>
          <w:sz w:val="22"/>
          <w:szCs w:val="22"/>
          <w:lang w:val="es-MX"/>
        </w:rPr>
        <w:t>efectividad los procesos organizacionales</w:t>
      </w:r>
      <w:r>
        <w:rPr>
          <w:rFonts w:ascii="Palatino Linotype" w:hAnsi="Palatino Linotype" w:cstheme="minorHAnsi"/>
          <w:sz w:val="22"/>
          <w:szCs w:val="22"/>
          <w:lang w:val="es-MX"/>
        </w:rPr>
        <w:t>.</w:t>
      </w:r>
    </w:p>
    <w:p w14:paraId="42C40DAD" w14:textId="77674E0A" w:rsidR="004B28F4" w:rsidRDefault="00B97A9D" w:rsidP="00E609EE">
      <w:pPr>
        <w:pStyle w:val="ListParagraph"/>
        <w:numPr>
          <w:ilvl w:val="0"/>
          <w:numId w:val="4"/>
        </w:numPr>
        <w:spacing w:after="100" w:afterAutospacing="1" w:line="360" w:lineRule="auto"/>
        <w:contextualSpacing w:val="0"/>
        <w:rPr>
          <w:rFonts w:ascii="Palatino Linotype" w:hAnsi="Palatino Linotype" w:cstheme="minorHAnsi"/>
          <w:sz w:val="22"/>
          <w:szCs w:val="22"/>
          <w:lang w:val="es-MX"/>
        </w:rPr>
      </w:pPr>
      <w:r>
        <w:rPr>
          <w:rFonts w:ascii="Palatino Linotype" w:hAnsi="Palatino Linotype" w:cstheme="minorHAnsi"/>
          <w:sz w:val="22"/>
          <w:szCs w:val="22"/>
          <w:lang w:val="es-MX"/>
        </w:rPr>
        <w:t xml:space="preserve">Promover un proceso efectivo de informe y comunicación de riesgos a todos los niveles de las </w:t>
      </w:r>
      <w:r w:rsidR="004A1D26">
        <w:rPr>
          <w:rFonts w:ascii="Palatino Linotype" w:hAnsi="Palatino Linotype" w:cstheme="minorHAnsi"/>
          <w:sz w:val="22"/>
          <w:szCs w:val="22"/>
          <w:lang w:val="es-MX"/>
        </w:rPr>
        <w:t xml:space="preserve">compañías que asegure la transparencia adecuada para la toma de decisiones. </w:t>
      </w:r>
    </w:p>
    <w:p w14:paraId="6A767077" w14:textId="21E723A3" w:rsidR="0073619E" w:rsidRPr="001E5DFB" w:rsidRDefault="0029169D" w:rsidP="00E609EE">
      <w:pPr>
        <w:pStyle w:val="ListParagraph"/>
        <w:numPr>
          <w:ilvl w:val="0"/>
          <w:numId w:val="4"/>
        </w:numPr>
        <w:spacing w:before="240" w:after="120" w:line="360" w:lineRule="auto"/>
        <w:rPr>
          <w:rFonts w:ascii="Palatino Linotype" w:hAnsi="Palatino Linotype" w:cstheme="minorHAnsi"/>
          <w:sz w:val="22"/>
          <w:szCs w:val="22"/>
          <w:lang w:val="es-MX"/>
        </w:rPr>
      </w:pPr>
      <w:r w:rsidRPr="00E609EE">
        <w:rPr>
          <w:rFonts w:ascii="Palatino Linotype" w:hAnsi="Palatino Linotype"/>
          <w:sz w:val="22"/>
          <w:szCs w:val="22"/>
          <w:lang w:val="es-CR" w:eastAsia="es-CR"/>
        </w:rPr>
        <w:t xml:space="preserve">Proteger y crear valor al abordar los riesgos inherentes a los procesos y proyectos que </w:t>
      </w:r>
      <w:r w:rsidR="007F54C9">
        <w:rPr>
          <w:rFonts w:ascii="Palatino Linotype" w:hAnsi="Palatino Linotype"/>
          <w:sz w:val="22"/>
          <w:szCs w:val="22"/>
          <w:lang w:val="es-CR" w:eastAsia="es-CR"/>
        </w:rPr>
        <w:t xml:space="preserve">el </w:t>
      </w:r>
      <w:r w:rsidR="0077352D" w:rsidRPr="00E609EE">
        <w:rPr>
          <w:rFonts w:ascii="Palatino Linotype" w:hAnsi="Palatino Linotype"/>
          <w:sz w:val="22"/>
          <w:szCs w:val="22"/>
          <w:lang w:val="es-CR" w:eastAsia="es-CR"/>
        </w:rPr>
        <w:t>Grupo Financiero Bolsa de Valores gestiona</w:t>
      </w:r>
      <w:r w:rsidR="006F0F0F" w:rsidRPr="00E609EE">
        <w:rPr>
          <w:rFonts w:ascii="Palatino Linotype" w:hAnsi="Palatino Linotype"/>
          <w:sz w:val="22"/>
          <w:szCs w:val="22"/>
          <w:lang w:val="es-CR" w:eastAsia="es-CR"/>
        </w:rPr>
        <w:t xml:space="preserve"> y como estos pueden </w:t>
      </w:r>
      <w:r w:rsidR="004578D6" w:rsidRPr="00E609EE">
        <w:rPr>
          <w:rFonts w:ascii="Palatino Linotype" w:hAnsi="Palatino Linotype"/>
          <w:sz w:val="22"/>
          <w:szCs w:val="22"/>
          <w:lang w:val="es-CR" w:eastAsia="es-CR"/>
        </w:rPr>
        <w:t xml:space="preserve">impactar entre las compañías. </w:t>
      </w:r>
    </w:p>
    <w:p w14:paraId="60779D5A" w14:textId="145DD539" w:rsidR="001E5DFB" w:rsidRPr="00E609EE" w:rsidRDefault="001E5DFB" w:rsidP="00E609EE">
      <w:pPr>
        <w:pStyle w:val="ListParagraph"/>
        <w:numPr>
          <w:ilvl w:val="0"/>
          <w:numId w:val="4"/>
        </w:numPr>
        <w:spacing w:before="240" w:after="120" w:line="360" w:lineRule="auto"/>
        <w:rPr>
          <w:rFonts w:ascii="Palatino Linotype" w:hAnsi="Palatino Linotype" w:cstheme="minorHAnsi"/>
          <w:sz w:val="22"/>
          <w:szCs w:val="22"/>
          <w:lang w:val="es-MX"/>
        </w:rPr>
      </w:pPr>
      <w:r w:rsidRPr="001E5DFB">
        <w:rPr>
          <w:rFonts w:ascii="Palatino Linotype" w:hAnsi="Palatino Linotype" w:cstheme="minorHAnsi"/>
          <w:sz w:val="22"/>
          <w:szCs w:val="22"/>
          <w:lang w:val="es-MX"/>
        </w:rPr>
        <w:t>Dar seguimiento a la Declaración del Apetito de Riesgo</w:t>
      </w:r>
      <w:r>
        <w:rPr>
          <w:rFonts w:ascii="Palatino Linotype" w:hAnsi="Palatino Linotype" w:cstheme="minorHAnsi"/>
          <w:sz w:val="22"/>
          <w:szCs w:val="22"/>
          <w:lang w:val="es-MX"/>
        </w:rPr>
        <w:t xml:space="preserve"> Corporativo</w:t>
      </w:r>
      <w:r w:rsidRPr="001E5DFB">
        <w:rPr>
          <w:rFonts w:ascii="Palatino Linotype" w:hAnsi="Palatino Linotype" w:cstheme="minorHAnsi"/>
          <w:sz w:val="22"/>
          <w:szCs w:val="22"/>
          <w:lang w:val="es-MX"/>
        </w:rPr>
        <w:t>, así como definir los planes de acción en caso de presentarse excesos temporales o permanentes a los límites de riesgos establecidos.</w:t>
      </w:r>
    </w:p>
    <w:p w14:paraId="07DE6BA4" w14:textId="719AA23B" w:rsidR="00DA4461" w:rsidRPr="00E609EE" w:rsidRDefault="00B97A9D" w:rsidP="00E609EE">
      <w:pPr>
        <w:pStyle w:val="ListParagraph"/>
        <w:numPr>
          <w:ilvl w:val="0"/>
          <w:numId w:val="2"/>
        </w:numPr>
        <w:spacing w:after="100" w:afterAutospacing="1" w:line="360" w:lineRule="auto"/>
        <w:contextualSpacing w:val="0"/>
        <w:rPr>
          <w:rFonts w:ascii="Palatino Linotype" w:hAnsi="Palatino Linotype" w:cstheme="minorHAnsi"/>
          <w:sz w:val="22"/>
          <w:szCs w:val="22"/>
          <w:lang w:val="es-MX"/>
        </w:rPr>
      </w:pPr>
      <w:r>
        <w:rPr>
          <w:rFonts w:ascii="Palatino Linotype" w:hAnsi="Palatino Linotype" w:cstheme="minorHAnsi"/>
          <w:sz w:val="22"/>
          <w:szCs w:val="22"/>
          <w:lang w:val="es-MX"/>
        </w:rPr>
        <w:lastRenderedPageBreak/>
        <w:t xml:space="preserve">Fortalecer una </w:t>
      </w:r>
      <w:r w:rsidR="00042C9B" w:rsidRPr="003E6B48">
        <w:rPr>
          <w:rFonts w:ascii="Palatino Linotype" w:hAnsi="Palatino Linotype" w:cstheme="minorHAnsi"/>
          <w:sz w:val="22"/>
          <w:szCs w:val="22"/>
          <w:lang w:val="es-MX"/>
        </w:rPr>
        <w:t>cultura de riesgo sólida, mediante la implementación de</w:t>
      </w:r>
      <w:r w:rsidR="00042C9B">
        <w:rPr>
          <w:rFonts w:ascii="Palatino Linotype" w:hAnsi="Palatino Linotype" w:cstheme="minorHAnsi"/>
          <w:sz w:val="22"/>
          <w:szCs w:val="22"/>
          <w:lang w:val="es-MX"/>
        </w:rPr>
        <w:t xml:space="preserve"> un </w:t>
      </w:r>
      <w:r w:rsidR="00042C9B" w:rsidRPr="003E6B48">
        <w:rPr>
          <w:rFonts w:ascii="Palatino Linotype" w:hAnsi="Palatino Linotype" w:cstheme="minorHAnsi"/>
          <w:sz w:val="22"/>
          <w:szCs w:val="22"/>
          <w:lang w:val="es-MX"/>
        </w:rPr>
        <w:t>p</w:t>
      </w:r>
      <w:r w:rsidR="00042C9B">
        <w:rPr>
          <w:rFonts w:ascii="Palatino Linotype" w:hAnsi="Palatino Linotype" w:cstheme="minorHAnsi"/>
          <w:sz w:val="22"/>
          <w:szCs w:val="22"/>
          <w:lang w:val="es-MX"/>
        </w:rPr>
        <w:t>lan</w:t>
      </w:r>
      <w:r w:rsidR="00042C9B" w:rsidRPr="003E6B48">
        <w:rPr>
          <w:rFonts w:ascii="Palatino Linotype" w:hAnsi="Palatino Linotype" w:cstheme="minorHAnsi"/>
          <w:sz w:val="22"/>
          <w:szCs w:val="22"/>
          <w:lang w:val="es-MX"/>
        </w:rPr>
        <w:t xml:space="preserve"> de capacitación, que </w:t>
      </w:r>
      <w:r w:rsidR="00042C9B">
        <w:rPr>
          <w:rFonts w:ascii="Palatino Linotype" w:hAnsi="Palatino Linotype" w:cstheme="minorHAnsi"/>
          <w:sz w:val="22"/>
          <w:szCs w:val="22"/>
          <w:lang w:val="es-MX"/>
        </w:rPr>
        <w:t xml:space="preserve">permita interiorizar a todos los niveles de la organización </w:t>
      </w:r>
      <w:r w:rsidR="00042C9B" w:rsidRPr="003E6B48">
        <w:rPr>
          <w:rFonts w:ascii="Palatino Linotype" w:hAnsi="Palatino Linotype" w:cstheme="minorHAnsi"/>
          <w:sz w:val="22"/>
          <w:szCs w:val="22"/>
          <w:lang w:val="es-MX"/>
        </w:rPr>
        <w:t>la importancia de que la entidad opere conforme a las expectativas del Órgano de Dirección</w:t>
      </w:r>
      <w:r w:rsidR="00970805">
        <w:rPr>
          <w:rFonts w:ascii="Palatino Linotype" w:hAnsi="Palatino Linotype" w:cstheme="minorHAnsi"/>
          <w:sz w:val="22"/>
          <w:szCs w:val="22"/>
          <w:lang w:val="es-MX"/>
        </w:rPr>
        <w:t xml:space="preserve"> del Grupo Financiero de la Bolsa Nacional de Valores</w:t>
      </w:r>
      <w:r w:rsidR="00042C9B" w:rsidRPr="003E6B48">
        <w:rPr>
          <w:rFonts w:ascii="Palatino Linotype" w:hAnsi="Palatino Linotype" w:cstheme="minorHAnsi"/>
          <w:sz w:val="22"/>
          <w:szCs w:val="22"/>
          <w:lang w:val="es-MX"/>
        </w:rPr>
        <w:t>.</w:t>
      </w:r>
    </w:p>
    <w:p w14:paraId="17B6238F" w14:textId="162762AA" w:rsidR="002E7856" w:rsidRPr="0019798A" w:rsidRDefault="002E7856" w:rsidP="002E7856">
      <w:pPr>
        <w:rPr>
          <w:rFonts w:ascii="Palatino Linotype" w:hAnsi="Palatino Linotype"/>
          <w:b/>
          <w:sz w:val="22"/>
          <w:szCs w:val="22"/>
        </w:rPr>
      </w:pPr>
      <w:bookmarkStart w:id="0" w:name="_Hlk38285146"/>
      <w:bookmarkStart w:id="1" w:name="_Hlk50367340"/>
      <w:bookmarkStart w:id="2" w:name="_Hlk46599609"/>
      <w:r w:rsidRPr="0019798A">
        <w:rPr>
          <w:rFonts w:ascii="Palatino Linotype" w:hAnsi="Palatino Linotype"/>
          <w:b/>
          <w:sz w:val="22"/>
          <w:szCs w:val="22"/>
        </w:rPr>
        <w:t>Documentos Relacionados</w:t>
      </w:r>
    </w:p>
    <w:p w14:paraId="1085AF31" w14:textId="77777777" w:rsidR="002E7856" w:rsidRPr="002E7856" w:rsidRDefault="002E7856" w:rsidP="002E7856">
      <w:pPr>
        <w:rPr>
          <w:rFonts w:ascii="Palatino Linotype" w:hAnsi="Palatino Linotype"/>
          <w:b/>
        </w:rPr>
      </w:pP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6521"/>
        <w:gridCol w:w="3685"/>
      </w:tblGrid>
      <w:tr w:rsidR="002E7856" w:rsidRPr="00A9132D" w14:paraId="609E53FB" w14:textId="77777777" w:rsidTr="00C32096">
        <w:trPr>
          <w:trHeight w:val="228"/>
        </w:trPr>
        <w:tc>
          <w:tcPr>
            <w:tcW w:w="6521" w:type="dxa"/>
            <w:shd w:val="clear" w:color="auto" w:fill="BFBFBF" w:themeFill="background1" w:themeFillShade="BF"/>
          </w:tcPr>
          <w:p w14:paraId="417EE9E2" w14:textId="77777777" w:rsidR="002E7856" w:rsidRPr="0019798A" w:rsidRDefault="002E7856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19798A">
              <w:rPr>
                <w:rFonts w:ascii="Palatino Linotype" w:hAnsi="Palatino Linotype"/>
                <w:b/>
                <w:sz w:val="18"/>
                <w:szCs w:val="18"/>
              </w:rPr>
              <w:t>Documento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14:paraId="3CDF6123" w14:textId="77777777" w:rsidR="002E7856" w:rsidRPr="0019798A" w:rsidRDefault="002E7856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19798A">
              <w:rPr>
                <w:rFonts w:ascii="Palatino Linotype" w:hAnsi="Palatino Linotype"/>
                <w:b/>
                <w:sz w:val="18"/>
                <w:szCs w:val="18"/>
              </w:rPr>
              <w:t>Aprobado por</w:t>
            </w:r>
          </w:p>
        </w:tc>
      </w:tr>
      <w:tr w:rsidR="002E7856" w:rsidRPr="00A9132D" w14:paraId="52E3431D" w14:textId="77777777" w:rsidTr="00C32096">
        <w:trPr>
          <w:trHeight w:val="213"/>
        </w:trPr>
        <w:tc>
          <w:tcPr>
            <w:tcW w:w="6521" w:type="dxa"/>
            <w:vAlign w:val="center"/>
          </w:tcPr>
          <w:p w14:paraId="35089CFA" w14:textId="77777777" w:rsidR="002E7856" w:rsidRPr="0019798A" w:rsidRDefault="002E7856">
            <w:pPr>
              <w:pStyle w:val="NormalWeb"/>
              <w:jc w:val="both"/>
              <w:rPr>
                <w:rFonts w:ascii="Palatino Linotype" w:hAnsi="Palatino Linotype" w:cstheme="minorHAnsi"/>
                <w:sz w:val="18"/>
                <w:szCs w:val="18"/>
                <w:lang w:val="es-MX"/>
              </w:rPr>
            </w:pPr>
            <w:r w:rsidRPr="0019798A">
              <w:rPr>
                <w:rFonts w:ascii="Palatino Linotype" w:hAnsi="Palatino Linotype" w:cstheme="minorHAnsi"/>
                <w:sz w:val="18"/>
                <w:szCs w:val="18"/>
                <w:lang w:val="es-MX"/>
              </w:rPr>
              <w:t>Organigrama organizacional</w:t>
            </w:r>
          </w:p>
        </w:tc>
        <w:tc>
          <w:tcPr>
            <w:tcW w:w="3685" w:type="dxa"/>
            <w:vAlign w:val="center"/>
          </w:tcPr>
          <w:p w14:paraId="267ADFAA" w14:textId="4ABCBC50" w:rsidR="002E7856" w:rsidRPr="0019798A" w:rsidRDefault="008F60A7">
            <w:pPr>
              <w:pStyle w:val="NormalWeb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Junta Directiva</w:t>
            </w:r>
          </w:p>
        </w:tc>
      </w:tr>
      <w:tr w:rsidR="002E7856" w:rsidRPr="00A9132D" w14:paraId="3C6135B7" w14:textId="77777777" w:rsidTr="00C32096">
        <w:trPr>
          <w:trHeight w:val="213"/>
        </w:trPr>
        <w:tc>
          <w:tcPr>
            <w:tcW w:w="6521" w:type="dxa"/>
            <w:vAlign w:val="center"/>
          </w:tcPr>
          <w:p w14:paraId="41695E48" w14:textId="79BCA585" w:rsidR="002E7856" w:rsidRPr="0019798A" w:rsidRDefault="002E7856">
            <w:pPr>
              <w:pStyle w:val="NormalWeb"/>
              <w:jc w:val="both"/>
              <w:rPr>
                <w:rFonts w:ascii="Palatino Linotype" w:hAnsi="Palatino Linotype" w:cstheme="minorHAnsi"/>
                <w:sz w:val="18"/>
                <w:szCs w:val="18"/>
                <w:lang w:val="es-MX"/>
              </w:rPr>
            </w:pPr>
            <w:r w:rsidRPr="0019798A">
              <w:rPr>
                <w:rFonts w:ascii="Palatino Linotype" w:hAnsi="Palatino Linotype" w:cstheme="minorHAnsi"/>
                <w:sz w:val="18"/>
                <w:szCs w:val="18"/>
                <w:lang w:val="es-MX"/>
              </w:rPr>
              <w:t>Reglamento de funcionamiento del Comité de Gestión de Riesgos</w:t>
            </w:r>
          </w:p>
        </w:tc>
        <w:tc>
          <w:tcPr>
            <w:tcW w:w="3685" w:type="dxa"/>
            <w:vAlign w:val="center"/>
          </w:tcPr>
          <w:p w14:paraId="0252C521" w14:textId="7F38833A" w:rsidR="002E7856" w:rsidRPr="0019798A" w:rsidRDefault="008F60A7">
            <w:pPr>
              <w:pStyle w:val="NormalWeb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Junta Directiva</w:t>
            </w:r>
          </w:p>
        </w:tc>
      </w:tr>
      <w:tr w:rsidR="002E7856" w:rsidRPr="00A9132D" w14:paraId="42DEFFF2" w14:textId="77777777" w:rsidTr="00C32096">
        <w:trPr>
          <w:trHeight w:val="213"/>
        </w:trPr>
        <w:tc>
          <w:tcPr>
            <w:tcW w:w="6521" w:type="dxa"/>
            <w:vAlign w:val="center"/>
          </w:tcPr>
          <w:p w14:paraId="73929EE0" w14:textId="05B062AD" w:rsidR="002E7856" w:rsidRPr="0019798A" w:rsidRDefault="002E7856">
            <w:pPr>
              <w:pStyle w:val="NormalWeb"/>
              <w:jc w:val="both"/>
              <w:rPr>
                <w:rFonts w:ascii="Palatino Linotype" w:hAnsi="Palatino Linotype"/>
                <w:sz w:val="18"/>
                <w:szCs w:val="18"/>
                <w:lang w:val="es-CR"/>
              </w:rPr>
            </w:pPr>
            <w:r w:rsidRPr="0019798A">
              <w:rPr>
                <w:rFonts w:ascii="Palatino Linotype" w:hAnsi="Palatino Linotype" w:cstheme="minorHAnsi"/>
                <w:sz w:val="18"/>
                <w:szCs w:val="18"/>
                <w:lang w:val="es-MX"/>
              </w:rPr>
              <w:t>Marco de gestión de riesgos</w:t>
            </w:r>
            <w:r w:rsidR="00B808FC">
              <w:rPr>
                <w:rFonts w:ascii="Palatino Linotype" w:hAnsi="Palatino Linotype" w:cstheme="minorHAnsi"/>
                <w:sz w:val="18"/>
                <w:szCs w:val="18"/>
                <w:lang w:val="es-MX"/>
              </w:rPr>
              <w:t xml:space="preserve"> Corporativo</w:t>
            </w:r>
          </w:p>
        </w:tc>
        <w:tc>
          <w:tcPr>
            <w:tcW w:w="3685" w:type="dxa"/>
            <w:vAlign w:val="center"/>
          </w:tcPr>
          <w:p w14:paraId="5AE5F46E" w14:textId="360F3D8F" w:rsidR="002E7856" w:rsidRPr="0019798A" w:rsidRDefault="008F60A7">
            <w:pPr>
              <w:pStyle w:val="NormalWeb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Junta Directiva</w:t>
            </w:r>
          </w:p>
        </w:tc>
      </w:tr>
      <w:tr w:rsidR="002E7856" w:rsidRPr="00A9132D" w14:paraId="6618F53B" w14:textId="77777777" w:rsidTr="00C32096">
        <w:trPr>
          <w:trHeight w:val="213"/>
        </w:trPr>
        <w:tc>
          <w:tcPr>
            <w:tcW w:w="6521" w:type="dxa"/>
            <w:vAlign w:val="center"/>
          </w:tcPr>
          <w:p w14:paraId="000DB48B" w14:textId="2F0664CE" w:rsidR="002E7856" w:rsidRPr="0019798A" w:rsidRDefault="002E7856">
            <w:pPr>
              <w:pStyle w:val="NormalWeb"/>
              <w:jc w:val="both"/>
              <w:rPr>
                <w:rFonts w:ascii="Palatino Linotype" w:eastAsiaTheme="minorHAnsi" w:hAnsi="Palatino Linotype" w:cstheme="minorBidi"/>
                <w:i/>
                <w:sz w:val="18"/>
                <w:szCs w:val="18"/>
                <w:lang w:val="es-CR" w:eastAsia="es-CR"/>
              </w:rPr>
            </w:pPr>
            <w:r w:rsidRPr="0019798A">
              <w:rPr>
                <w:rFonts w:ascii="Palatino Linotype" w:hAnsi="Palatino Linotype" w:cstheme="minorHAnsi"/>
                <w:sz w:val="18"/>
                <w:szCs w:val="18"/>
                <w:lang w:val="es-MX"/>
              </w:rPr>
              <w:t>Declaración del Apetito de Riesgo</w:t>
            </w:r>
            <w:r w:rsidR="00B808FC">
              <w:rPr>
                <w:rFonts w:ascii="Palatino Linotype" w:hAnsi="Palatino Linotype" w:cstheme="minorHAnsi"/>
                <w:sz w:val="18"/>
                <w:szCs w:val="18"/>
                <w:lang w:val="es-MX"/>
              </w:rPr>
              <w:t xml:space="preserve"> Corporativo</w:t>
            </w:r>
          </w:p>
        </w:tc>
        <w:tc>
          <w:tcPr>
            <w:tcW w:w="3685" w:type="dxa"/>
            <w:vAlign w:val="center"/>
          </w:tcPr>
          <w:p w14:paraId="28D3F2DE" w14:textId="01B96999" w:rsidR="002E7856" w:rsidRPr="0019798A" w:rsidRDefault="008F60A7">
            <w:pPr>
              <w:pStyle w:val="NormalWeb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Junta Directiva</w:t>
            </w:r>
          </w:p>
        </w:tc>
      </w:tr>
    </w:tbl>
    <w:p w14:paraId="78858E2A" w14:textId="36ABCFDA" w:rsidR="00C32096" w:rsidRDefault="00C32096" w:rsidP="00C32096">
      <w:pPr>
        <w:rPr>
          <w:lang w:val="es-CR"/>
        </w:rPr>
      </w:pPr>
      <w:bookmarkStart w:id="3" w:name="_Hlk44667153"/>
      <w:bookmarkEnd w:id="0"/>
      <w:bookmarkEnd w:id="1"/>
    </w:p>
    <w:p w14:paraId="7851BBED" w14:textId="77777777" w:rsidR="00C32096" w:rsidRPr="00C32096" w:rsidRDefault="00C32096" w:rsidP="00C32096">
      <w:pPr>
        <w:rPr>
          <w:lang w:val="es-CR"/>
        </w:rPr>
      </w:pPr>
    </w:p>
    <w:p w14:paraId="47E3CABC" w14:textId="140A188D" w:rsidR="002E7856" w:rsidRPr="0019798A" w:rsidRDefault="002E7856" w:rsidP="00933937">
      <w:pPr>
        <w:pStyle w:val="Heading1"/>
        <w:jc w:val="left"/>
        <w:rPr>
          <w:rFonts w:ascii="Palatino Linotype" w:hAnsi="Palatino Linotype"/>
          <w:sz w:val="22"/>
          <w:szCs w:val="22"/>
        </w:rPr>
      </w:pPr>
      <w:r w:rsidRPr="0019798A">
        <w:rPr>
          <w:rFonts w:ascii="Palatino Linotype" w:hAnsi="Palatino Linotype"/>
          <w:sz w:val="22"/>
          <w:szCs w:val="22"/>
        </w:rPr>
        <w:t>Historial de Revisión</w:t>
      </w:r>
    </w:p>
    <w:p w14:paraId="08E5710E" w14:textId="77777777" w:rsidR="002E7856" w:rsidRPr="00933937" w:rsidRDefault="002E7856" w:rsidP="00933937">
      <w:pPr>
        <w:rPr>
          <w:rFonts w:ascii="Palatino Linotype" w:hAnsi="Palatino Linotype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866"/>
        <w:gridCol w:w="6931"/>
        <w:gridCol w:w="2126"/>
      </w:tblGrid>
      <w:tr w:rsidR="002E7856" w:rsidRPr="00A9132D" w14:paraId="2328852F" w14:textId="77777777" w:rsidTr="00C32096">
        <w:trPr>
          <w:trHeight w:val="250"/>
        </w:trPr>
        <w:tc>
          <w:tcPr>
            <w:tcW w:w="866" w:type="dxa"/>
            <w:shd w:val="clear" w:color="auto" w:fill="BFBFBF" w:themeFill="background1" w:themeFillShade="BF"/>
          </w:tcPr>
          <w:p w14:paraId="652EE8FF" w14:textId="77777777" w:rsidR="002E7856" w:rsidRPr="0019798A" w:rsidRDefault="002E7856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19798A">
              <w:rPr>
                <w:rFonts w:ascii="Palatino Linotype" w:hAnsi="Palatino Linotype"/>
                <w:b/>
                <w:sz w:val="18"/>
                <w:szCs w:val="18"/>
              </w:rPr>
              <w:t>Versión</w:t>
            </w:r>
          </w:p>
        </w:tc>
        <w:tc>
          <w:tcPr>
            <w:tcW w:w="6931" w:type="dxa"/>
            <w:shd w:val="clear" w:color="auto" w:fill="BFBFBF" w:themeFill="background1" w:themeFillShade="BF"/>
          </w:tcPr>
          <w:p w14:paraId="53AD6058" w14:textId="77777777" w:rsidR="002E7856" w:rsidRPr="0019798A" w:rsidRDefault="002E7856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19798A">
              <w:rPr>
                <w:rFonts w:ascii="Palatino Linotype" w:hAnsi="Palatino Linotype"/>
                <w:b/>
                <w:sz w:val="18"/>
                <w:szCs w:val="18"/>
              </w:rPr>
              <w:t>Descripción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3D55E46A" w14:textId="04088C83" w:rsidR="002E7856" w:rsidRPr="0019798A" w:rsidRDefault="002E7856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19798A">
              <w:rPr>
                <w:rFonts w:ascii="Palatino Linotype" w:hAnsi="Palatino Linotype"/>
                <w:b/>
                <w:sz w:val="18"/>
                <w:szCs w:val="18"/>
              </w:rPr>
              <w:t>Fecha</w:t>
            </w:r>
          </w:p>
        </w:tc>
      </w:tr>
      <w:tr w:rsidR="00DA6CA7" w:rsidRPr="00A9132D" w14:paraId="65E86FCA" w14:textId="77777777" w:rsidTr="00C32096">
        <w:trPr>
          <w:trHeight w:val="250"/>
        </w:trPr>
        <w:tc>
          <w:tcPr>
            <w:tcW w:w="866" w:type="dxa"/>
            <w:vAlign w:val="center"/>
          </w:tcPr>
          <w:p w14:paraId="38C05650" w14:textId="77692F3F" w:rsidR="00DA6CA7" w:rsidRPr="0019798A" w:rsidRDefault="00DA6CA7" w:rsidP="00DA6CA7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</w:t>
            </w:r>
          </w:p>
        </w:tc>
        <w:tc>
          <w:tcPr>
            <w:tcW w:w="6931" w:type="dxa"/>
            <w:vAlign w:val="center"/>
          </w:tcPr>
          <w:p w14:paraId="59F01E4B" w14:textId="514ACD28" w:rsidR="00DA6CA7" w:rsidRDefault="00DA6CA7" w:rsidP="00DA6CA7">
            <w:pPr>
              <w:rPr>
                <w:rFonts w:ascii="Palatino Linotype" w:hAnsi="Palatino Linotype"/>
                <w:sz w:val="18"/>
                <w:szCs w:val="18"/>
              </w:rPr>
            </w:pPr>
            <w:r w:rsidRPr="0019798A">
              <w:rPr>
                <w:rFonts w:ascii="Palatino Linotype" w:hAnsi="Palatino Linotype"/>
                <w:sz w:val="18"/>
                <w:szCs w:val="18"/>
              </w:rPr>
              <w:t xml:space="preserve">Revisado por Comité de Gestión de Riesgos, sesión </w:t>
            </w:r>
            <w:r w:rsidR="00B808FC">
              <w:rPr>
                <w:rFonts w:ascii="Palatino Linotype" w:hAnsi="Palatino Linotype"/>
                <w:sz w:val="18"/>
                <w:szCs w:val="18"/>
              </w:rPr>
              <w:t>05-24</w:t>
            </w:r>
          </w:p>
          <w:p w14:paraId="45BC1487" w14:textId="53F9A49B" w:rsidR="00CC6B0D" w:rsidRPr="0019798A" w:rsidRDefault="00CC6B0D" w:rsidP="00DA6CA7">
            <w:pPr>
              <w:rPr>
                <w:rFonts w:ascii="Palatino Linotype" w:hAnsi="Palatino Linotype"/>
                <w:sz w:val="18"/>
                <w:szCs w:val="18"/>
              </w:rPr>
            </w:pPr>
            <w:r w:rsidRPr="0019798A">
              <w:rPr>
                <w:rFonts w:ascii="Palatino Linotype" w:hAnsi="Palatino Linotype"/>
                <w:sz w:val="18"/>
                <w:szCs w:val="18"/>
              </w:rPr>
              <w:t xml:space="preserve">Aprobado por Junta Directiva </w:t>
            </w:r>
            <w:r w:rsidR="00B808FC">
              <w:rPr>
                <w:rFonts w:ascii="Palatino Linotype" w:hAnsi="Palatino Linotype"/>
                <w:sz w:val="18"/>
                <w:szCs w:val="18"/>
              </w:rPr>
              <w:t xml:space="preserve">Grupo Financiero BNV, sesión </w:t>
            </w:r>
            <w:r w:rsidR="00970805">
              <w:rPr>
                <w:rFonts w:ascii="Palatino Linotype" w:hAnsi="Palatino Linotype"/>
                <w:sz w:val="18"/>
                <w:szCs w:val="18"/>
              </w:rPr>
              <w:t>07</w:t>
            </w:r>
            <w:r w:rsidR="00B808FC">
              <w:rPr>
                <w:rFonts w:ascii="Palatino Linotype" w:hAnsi="Palatino Linotype"/>
                <w:sz w:val="18"/>
                <w:szCs w:val="18"/>
              </w:rPr>
              <w:t>-24</w:t>
            </w:r>
          </w:p>
        </w:tc>
        <w:tc>
          <w:tcPr>
            <w:tcW w:w="2126" w:type="dxa"/>
            <w:vAlign w:val="center"/>
          </w:tcPr>
          <w:p w14:paraId="3AB2F5B7" w14:textId="690BB506" w:rsidR="00DA6CA7" w:rsidRDefault="00DA6CA7" w:rsidP="00DA6CA7">
            <w:pPr>
              <w:jc w:val="left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 xml:space="preserve">10 </w:t>
            </w:r>
            <w:r w:rsidR="00B808FC">
              <w:rPr>
                <w:rFonts w:ascii="Palatino Linotype" w:hAnsi="Palatino Linotype"/>
                <w:sz w:val="18"/>
                <w:szCs w:val="18"/>
              </w:rPr>
              <w:t>de julio</w:t>
            </w:r>
            <w:r>
              <w:rPr>
                <w:rFonts w:ascii="Palatino Linotype" w:hAnsi="Palatino Linotype"/>
                <w:sz w:val="18"/>
                <w:szCs w:val="18"/>
              </w:rPr>
              <w:t>, 2017</w:t>
            </w:r>
          </w:p>
          <w:p w14:paraId="5B6C543C" w14:textId="49838B6F" w:rsidR="00CC6B0D" w:rsidRPr="0019798A" w:rsidRDefault="00CC6B0D" w:rsidP="00DA6CA7">
            <w:pPr>
              <w:jc w:val="left"/>
              <w:rPr>
                <w:rFonts w:ascii="Palatino Linotype" w:hAnsi="Palatino Linotype"/>
                <w:sz w:val="18"/>
                <w:szCs w:val="18"/>
              </w:rPr>
            </w:pPr>
            <w:r w:rsidRPr="0019798A">
              <w:rPr>
                <w:rFonts w:ascii="Palatino Linotype" w:hAnsi="Palatino Linotype"/>
                <w:sz w:val="18"/>
                <w:szCs w:val="18"/>
              </w:rPr>
              <w:t>1</w:t>
            </w:r>
            <w:r w:rsidR="00B808FC">
              <w:rPr>
                <w:rFonts w:ascii="Palatino Linotype" w:hAnsi="Palatino Linotype"/>
                <w:sz w:val="18"/>
                <w:szCs w:val="18"/>
              </w:rPr>
              <w:t>7</w:t>
            </w:r>
            <w:r w:rsidRPr="0019798A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de </w:t>
            </w:r>
            <w:r w:rsidR="00B808FC">
              <w:rPr>
                <w:rFonts w:ascii="Palatino Linotype" w:hAnsi="Palatino Linotype"/>
                <w:sz w:val="18"/>
                <w:szCs w:val="18"/>
              </w:rPr>
              <w:t>julio</w:t>
            </w:r>
            <w:r>
              <w:rPr>
                <w:rFonts w:ascii="Palatino Linotype" w:hAnsi="Palatino Linotype"/>
                <w:sz w:val="18"/>
                <w:szCs w:val="18"/>
              </w:rPr>
              <w:t>,</w:t>
            </w:r>
            <w:r w:rsidRPr="0019798A">
              <w:rPr>
                <w:rFonts w:ascii="Palatino Linotype" w:hAnsi="Palatino Linotype"/>
                <w:sz w:val="18"/>
                <w:szCs w:val="18"/>
              </w:rPr>
              <w:t xml:space="preserve"> 2017</w:t>
            </w:r>
          </w:p>
        </w:tc>
      </w:tr>
      <w:bookmarkEnd w:id="2"/>
      <w:bookmarkEnd w:id="3"/>
    </w:tbl>
    <w:p w14:paraId="6133A9F1" w14:textId="77777777" w:rsidR="003E6B48" w:rsidRPr="004B7CC2" w:rsidRDefault="003E6B48" w:rsidP="004B7CC2">
      <w:pPr>
        <w:spacing w:after="100" w:afterAutospacing="1" w:line="360" w:lineRule="auto"/>
        <w:rPr>
          <w:rFonts w:ascii="Palatino Linotype" w:hAnsi="Palatino Linotype" w:cstheme="minorHAnsi"/>
          <w:sz w:val="22"/>
          <w:szCs w:val="22"/>
          <w:lang w:val="es-MX"/>
        </w:rPr>
      </w:pPr>
    </w:p>
    <w:sectPr w:rsidR="003E6B48" w:rsidRPr="004B7CC2" w:rsidSect="003E6B48">
      <w:headerReference w:type="default" r:id="rId11"/>
      <w:footerReference w:type="default" r:id="rId12"/>
      <w:pgSz w:w="12240" w:h="15840"/>
      <w:pgMar w:top="1009" w:right="1009" w:bottom="1009" w:left="10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487AE" w14:textId="77777777" w:rsidR="00A43CF6" w:rsidRDefault="00A43CF6" w:rsidP="00C06222">
      <w:r>
        <w:separator/>
      </w:r>
    </w:p>
  </w:endnote>
  <w:endnote w:type="continuationSeparator" w:id="0">
    <w:p w14:paraId="69C4C48A" w14:textId="77777777" w:rsidR="00A43CF6" w:rsidRDefault="00A43CF6" w:rsidP="00C06222">
      <w:r>
        <w:continuationSeparator/>
      </w:r>
    </w:p>
  </w:endnote>
  <w:endnote w:type="continuationNotice" w:id="1">
    <w:p w14:paraId="00F47F15" w14:textId="77777777" w:rsidR="00A43CF6" w:rsidRDefault="00A43C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9616900"/>
      <w:docPartObj>
        <w:docPartGallery w:val="Page Numbers (Top of Page)"/>
        <w:docPartUnique/>
      </w:docPartObj>
    </w:sdtPr>
    <w:sdtContent>
      <w:p w14:paraId="316C0A86" w14:textId="53201CA7" w:rsidR="008521FD" w:rsidRDefault="008521FD" w:rsidP="008521FD">
        <w:pPr>
          <w:pStyle w:val="Footer"/>
          <w:jc w:val="right"/>
        </w:pPr>
        <w:r w:rsidRPr="006D1F54">
          <w:rPr>
            <w:b/>
            <w:bCs/>
            <w:sz w:val="16"/>
            <w:szCs w:val="16"/>
          </w:rPr>
          <w:fldChar w:fldCharType="begin"/>
        </w:r>
        <w:r w:rsidRPr="006D1F54">
          <w:rPr>
            <w:b/>
            <w:bCs/>
            <w:sz w:val="16"/>
            <w:szCs w:val="16"/>
          </w:rPr>
          <w:instrText xml:space="preserve"> PAGE </w:instrText>
        </w:r>
        <w:r w:rsidRPr="006D1F54">
          <w:rPr>
            <w:b/>
            <w:bCs/>
            <w:sz w:val="16"/>
            <w:szCs w:val="16"/>
          </w:rPr>
          <w:fldChar w:fldCharType="separate"/>
        </w:r>
        <w:r w:rsidR="00A114C2">
          <w:rPr>
            <w:b/>
            <w:bCs/>
            <w:noProof/>
            <w:sz w:val="16"/>
            <w:szCs w:val="16"/>
          </w:rPr>
          <w:t>1</w:t>
        </w:r>
        <w:r w:rsidRPr="006D1F54">
          <w:rPr>
            <w:b/>
            <w:bCs/>
            <w:sz w:val="16"/>
            <w:szCs w:val="16"/>
          </w:rPr>
          <w:fldChar w:fldCharType="end"/>
        </w:r>
        <w:r w:rsidRPr="006D1F54">
          <w:rPr>
            <w:sz w:val="16"/>
            <w:szCs w:val="16"/>
          </w:rPr>
          <w:t xml:space="preserve"> de </w:t>
        </w:r>
        <w:r w:rsidRPr="006D1F54">
          <w:rPr>
            <w:b/>
            <w:bCs/>
            <w:sz w:val="16"/>
            <w:szCs w:val="16"/>
          </w:rPr>
          <w:fldChar w:fldCharType="begin"/>
        </w:r>
        <w:r w:rsidRPr="006D1F54">
          <w:rPr>
            <w:b/>
            <w:bCs/>
            <w:sz w:val="16"/>
            <w:szCs w:val="16"/>
          </w:rPr>
          <w:instrText xml:space="preserve"> NUMPAGES  </w:instrText>
        </w:r>
        <w:r w:rsidRPr="006D1F54">
          <w:rPr>
            <w:b/>
            <w:bCs/>
            <w:sz w:val="16"/>
            <w:szCs w:val="16"/>
          </w:rPr>
          <w:fldChar w:fldCharType="separate"/>
        </w:r>
        <w:r w:rsidR="00A114C2">
          <w:rPr>
            <w:b/>
            <w:bCs/>
            <w:noProof/>
            <w:sz w:val="16"/>
            <w:szCs w:val="16"/>
          </w:rPr>
          <w:t>2</w:t>
        </w:r>
        <w:r w:rsidRPr="006D1F54">
          <w:rPr>
            <w:b/>
            <w:bCs/>
            <w:sz w:val="16"/>
            <w:szCs w:val="16"/>
          </w:rPr>
          <w:fldChar w:fldCharType="end"/>
        </w:r>
      </w:p>
    </w:sdtContent>
  </w:sdt>
  <w:p w14:paraId="18DC80F0" w14:textId="77777777" w:rsidR="008521FD" w:rsidRDefault="008521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98E15" w14:textId="77777777" w:rsidR="00A43CF6" w:rsidRDefault="00A43CF6" w:rsidP="00C06222">
      <w:r>
        <w:separator/>
      </w:r>
    </w:p>
  </w:footnote>
  <w:footnote w:type="continuationSeparator" w:id="0">
    <w:p w14:paraId="74A72C74" w14:textId="77777777" w:rsidR="00A43CF6" w:rsidRDefault="00A43CF6" w:rsidP="00C06222">
      <w:r>
        <w:continuationSeparator/>
      </w:r>
    </w:p>
  </w:footnote>
  <w:footnote w:type="continuationNotice" w:id="1">
    <w:p w14:paraId="4B7649DB" w14:textId="77777777" w:rsidR="00A43CF6" w:rsidRDefault="00A43C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52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top w:w="28" w:type="dxa"/>
        <w:bottom w:w="28" w:type="dxa"/>
      </w:tblCellMar>
      <w:tblLook w:val="01E0" w:firstRow="1" w:lastRow="1" w:firstColumn="1" w:lastColumn="1" w:noHBand="0" w:noVBand="0"/>
    </w:tblPr>
    <w:tblGrid>
      <w:gridCol w:w="2063"/>
      <w:gridCol w:w="3126"/>
      <w:gridCol w:w="2979"/>
      <w:gridCol w:w="1784"/>
    </w:tblGrid>
    <w:tr w:rsidR="003E6B48" w:rsidRPr="00887056" w14:paraId="6F3AD78B" w14:textId="77777777">
      <w:trPr>
        <w:trHeight w:val="234"/>
        <w:jc w:val="center"/>
      </w:trPr>
      <w:tc>
        <w:tcPr>
          <w:tcW w:w="2063" w:type="dxa"/>
          <w:vMerge w:val="restart"/>
          <w:tcBorders>
            <w:right w:val="single" w:sz="12" w:space="0" w:color="C0C0C0"/>
          </w:tcBorders>
          <w:vAlign w:val="center"/>
        </w:tcPr>
        <w:p w14:paraId="2B714DDD" w14:textId="1F428067" w:rsidR="003E6B48" w:rsidRPr="00887056" w:rsidRDefault="003E6B48" w:rsidP="003E6B48">
          <w:pPr>
            <w:jc w:val="center"/>
            <w:rPr>
              <w:rFonts w:ascii="Palatino Linotype" w:hAnsi="Palatino Linotype" w:cs="Tahoma"/>
              <w:sz w:val="18"/>
              <w:szCs w:val="18"/>
            </w:rPr>
          </w:pPr>
          <w:bookmarkStart w:id="4" w:name="_Hlk522280942"/>
          <w:r w:rsidRPr="00887056">
            <w:rPr>
              <w:rFonts w:ascii="Palatino Linotype" w:hAnsi="Palatino Linotype" w:cs="Tahoma"/>
              <w:noProof/>
              <w:sz w:val="18"/>
              <w:szCs w:val="18"/>
            </w:rPr>
            <w:drawing>
              <wp:inline distT="0" distB="0" distL="0" distR="0" wp14:anchorId="5AD0D018" wp14:editId="17CC1FB5">
                <wp:extent cx="895350" cy="798975"/>
                <wp:effectExtent l="19050" t="0" r="0" b="0"/>
                <wp:docPr id="1" name="Picture 1" descr="G:\Random\Nueva imagen\Material\Logos jpeg\Isotipo BN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:\Random\Nueva imagen\Material\Logos jpeg\Isotipo BN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4966" cy="7986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9" w:type="dxa"/>
          <w:gridSpan w:val="3"/>
          <w:tcBorders>
            <w:left w:val="single" w:sz="12" w:space="0" w:color="C0C0C0"/>
            <w:right w:val="single" w:sz="12" w:space="0" w:color="auto"/>
          </w:tcBorders>
        </w:tcPr>
        <w:p w14:paraId="35F2C3B0" w14:textId="209E311D" w:rsidR="003E6B48" w:rsidRPr="003E6B48" w:rsidRDefault="00693E9D" w:rsidP="003E6B48">
          <w:pPr>
            <w:jc w:val="center"/>
            <w:rPr>
              <w:rFonts w:ascii="Palatino Linotype" w:hAnsi="Palatino Linotype" w:cs="Tahoma"/>
              <w:b/>
              <w:sz w:val="18"/>
              <w:szCs w:val="18"/>
            </w:rPr>
          </w:pPr>
          <w:r>
            <w:rPr>
              <w:rFonts w:ascii="Palatino Linotype" w:hAnsi="Palatino Linotype" w:cs="Tahoma"/>
              <w:b/>
              <w:sz w:val="18"/>
              <w:szCs w:val="18"/>
            </w:rPr>
            <w:t xml:space="preserve">Grupo Financiero </w:t>
          </w:r>
          <w:r w:rsidR="003E6B48" w:rsidRPr="003E6B48">
            <w:rPr>
              <w:rFonts w:ascii="Palatino Linotype" w:hAnsi="Palatino Linotype" w:cs="Tahoma"/>
              <w:b/>
              <w:sz w:val="18"/>
              <w:szCs w:val="18"/>
            </w:rPr>
            <w:t>Bolsa Nacional de Valores</w:t>
          </w:r>
        </w:p>
        <w:p w14:paraId="7D66E3B7" w14:textId="0B32F35A" w:rsidR="003E6B48" w:rsidRPr="003E6B48" w:rsidRDefault="003E6B48" w:rsidP="003E6B48">
          <w:pPr>
            <w:jc w:val="center"/>
            <w:rPr>
              <w:rFonts w:ascii="Palatino Linotype" w:hAnsi="Palatino Linotype" w:cs="Tahoma"/>
              <w:b/>
              <w:sz w:val="18"/>
              <w:szCs w:val="18"/>
            </w:rPr>
          </w:pPr>
          <w:r w:rsidRPr="003E6B48">
            <w:rPr>
              <w:rFonts w:ascii="Palatino Linotype" w:hAnsi="Palatino Linotype"/>
              <w:b/>
              <w:sz w:val="18"/>
              <w:szCs w:val="18"/>
            </w:rPr>
            <w:t xml:space="preserve">Política </w:t>
          </w:r>
          <w:r>
            <w:rPr>
              <w:rFonts w:ascii="Palatino Linotype" w:hAnsi="Palatino Linotype"/>
              <w:b/>
              <w:sz w:val="18"/>
              <w:szCs w:val="18"/>
            </w:rPr>
            <w:t xml:space="preserve">de </w:t>
          </w:r>
          <w:r w:rsidRPr="003E6B48">
            <w:rPr>
              <w:rFonts w:ascii="Palatino Linotype" w:hAnsi="Palatino Linotype"/>
              <w:b/>
              <w:sz w:val="18"/>
              <w:szCs w:val="18"/>
            </w:rPr>
            <w:t>Gestión de Riesgos</w:t>
          </w:r>
          <w:r w:rsidR="00D2452A">
            <w:rPr>
              <w:rFonts w:ascii="Palatino Linotype" w:hAnsi="Palatino Linotype"/>
              <w:b/>
              <w:sz w:val="18"/>
              <w:szCs w:val="18"/>
            </w:rPr>
            <w:t xml:space="preserve"> </w:t>
          </w:r>
          <w:r w:rsidR="00D2452A">
            <w:rPr>
              <w:b/>
              <w:sz w:val="18"/>
              <w:szCs w:val="18"/>
            </w:rPr>
            <w:t>Corporativo</w:t>
          </w:r>
        </w:p>
      </w:tc>
    </w:tr>
    <w:tr w:rsidR="003E6B48" w:rsidRPr="00887056" w14:paraId="7F3E12BE" w14:textId="77777777">
      <w:trPr>
        <w:trHeight w:val="51"/>
        <w:jc w:val="center"/>
      </w:trPr>
      <w:tc>
        <w:tcPr>
          <w:tcW w:w="2063" w:type="dxa"/>
          <w:vMerge/>
          <w:tcBorders>
            <w:right w:val="single" w:sz="12" w:space="0" w:color="C0C0C0"/>
          </w:tcBorders>
        </w:tcPr>
        <w:p w14:paraId="3F6BD746" w14:textId="77777777" w:rsidR="003E6B48" w:rsidRPr="00887056" w:rsidRDefault="003E6B48" w:rsidP="003E6B48">
          <w:pPr>
            <w:rPr>
              <w:rFonts w:ascii="Palatino Linotype" w:hAnsi="Palatino Linotype" w:cs="Tahoma"/>
              <w:sz w:val="18"/>
              <w:szCs w:val="18"/>
            </w:rPr>
          </w:pPr>
        </w:p>
      </w:tc>
      <w:tc>
        <w:tcPr>
          <w:tcW w:w="3126" w:type="dxa"/>
          <w:tcBorders>
            <w:top w:val="single" w:sz="12" w:space="0" w:color="C0C0C0"/>
            <w:left w:val="single" w:sz="12" w:space="0" w:color="C0C0C0"/>
            <w:bottom w:val="single" w:sz="12" w:space="0" w:color="C0C0C0"/>
            <w:right w:val="single" w:sz="12" w:space="0" w:color="C0C0C0"/>
          </w:tcBorders>
          <w:vAlign w:val="bottom"/>
        </w:tcPr>
        <w:p w14:paraId="272E61F0" w14:textId="77777777" w:rsidR="003E6B48" w:rsidRPr="00887056" w:rsidRDefault="003E6B48" w:rsidP="003E6B48">
          <w:pPr>
            <w:rPr>
              <w:rFonts w:ascii="Palatino Linotype" w:hAnsi="Palatino Linotype" w:cs="Tahoma"/>
              <w:sz w:val="18"/>
              <w:szCs w:val="18"/>
            </w:rPr>
          </w:pPr>
          <w:r w:rsidRPr="00887056">
            <w:rPr>
              <w:rFonts w:ascii="Palatino Linotype" w:hAnsi="Palatino Linotype" w:cs="Tahoma"/>
              <w:sz w:val="18"/>
              <w:szCs w:val="18"/>
            </w:rPr>
            <w:t>Código: B-PGGC-NI-PO09</w:t>
          </w:r>
        </w:p>
      </w:tc>
      <w:tc>
        <w:tcPr>
          <w:tcW w:w="2979" w:type="dxa"/>
          <w:tcBorders>
            <w:top w:val="single" w:sz="12" w:space="0" w:color="C0C0C0"/>
            <w:left w:val="single" w:sz="12" w:space="0" w:color="C0C0C0"/>
            <w:bottom w:val="single" w:sz="12" w:space="0" w:color="C0C0C0"/>
          </w:tcBorders>
        </w:tcPr>
        <w:p w14:paraId="396FEEEF" w14:textId="77777777" w:rsidR="003E6B48" w:rsidRPr="00887056" w:rsidRDefault="003E6B48" w:rsidP="003E6B48">
          <w:pPr>
            <w:tabs>
              <w:tab w:val="left" w:pos="1224"/>
            </w:tabs>
            <w:rPr>
              <w:rFonts w:ascii="Palatino Linotype" w:hAnsi="Palatino Linotype" w:cs="Tahoma"/>
              <w:sz w:val="18"/>
              <w:szCs w:val="18"/>
            </w:rPr>
          </w:pPr>
          <w:r w:rsidRPr="00887056">
            <w:rPr>
              <w:rFonts w:ascii="Palatino Linotype" w:hAnsi="Palatino Linotype" w:cs="Tahoma"/>
              <w:sz w:val="18"/>
              <w:szCs w:val="18"/>
            </w:rPr>
            <w:t xml:space="preserve">Fecha de vigencia: </w:t>
          </w:r>
        </w:p>
      </w:tc>
      <w:tc>
        <w:tcPr>
          <w:tcW w:w="1783" w:type="dxa"/>
          <w:tcBorders>
            <w:top w:val="single" w:sz="12" w:space="0" w:color="C0C0C0"/>
            <w:bottom w:val="single" w:sz="12" w:space="0" w:color="C0C0C0"/>
            <w:right w:val="single" w:sz="12" w:space="0" w:color="auto"/>
          </w:tcBorders>
        </w:tcPr>
        <w:p w14:paraId="162E09E3" w14:textId="0D5CA42D" w:rsidR="003E6B48" w:rsidRPr="00887056" w:rsidRDefault="00C32096" w:rsidP="003E6B48">
          <w:pPr>
            <w:rPr>
              <w:rFonts w:ascii="Palatino Linotype" w:hAnsi="Palatino Linotype" w:cs="Tahoma"/>
              <w:sz w:val="18"/>
              <w:szCs w:val="18"/>
            </w:rPr>
          </w:pPr>
          <w:r>
            <w:rPr>
              <w:rFonts w:ascii="Palatino Linotype" w:hAnsi="Palatino Linotype" w:cs="Tahoma"/>
              <w:sz w:val="18"/>
              <w:szCs w:val="18"/>
            </w:rPr>
            <w:t>1</w:t>
          </w:r>
          <w:r w:rsidR="00D2452A">
            <w:rPr>
              <w:rFonts w:ascii="Palatino Linotype" w:hAnsi="Palatino Linotype" w:cs="Tahoma"/>
              <w:sz w:val="18"/>
              <w:szCs w:val="18"/>
            </w:rPr>
            <w:t>7</w:t>
          </w:r>
          <w:r w:rsidR="003E6B48" w:rsidRPr="00887056">
            <w:rPr>
              <w:rFonts w:ascii="Palatino Linotype" w:hAnsi="Palatino Linotype" w:cs="Tahoma"/>
              <w:sz w:val="18"/>
              <w:szCs w:val="18"/>
            </w:rPr>
            <w:t>/</w:t>
          </w:r>
          <w:r w:rsidR="00D2452A">
            <w:rPr>
              <w:rFonts w:ascii="Palatino Linotype" w:hAnsi="Palatino Linotype" w:cs="Tahoma"/>
              <w:sz w:val="18"/>
              <w:szCs w:val="18"/>
            </w:rPr>
            <w:t>07</w:t>
          </w:r>
          <w:r w:rsidR="003E6B48" w:rsidRPr="00887056">
            <w:rPr>
              <w:rFonts w:ascii="Palatino Linotype" w:hAnsi="Palatino Linotype" w:cs="Tahoma"/>
              <w:sz w:val="18"/>
              <w:szCs w:val="18"/>
            </w:rPr>
            <w:t>/</w:t>
          </w:r>
          <w:r w:rsidR="003E6B48">
            <w:rPr>
              <w:rFonts w:ascii="Palatino Linotype" w:hAnsi="Palatino Linotype" w:cs="Tahoma"/>
              <w:sz w:val="18"/>
              <w:szCs w:val="18"/>
            </w:rPr>
            <w:t>20</w:t>
          </w:r>
          <w:r w:rsidR="00D2452A">
            <w:rPr>
              <w:rFonts w:ascii="Palatino Linotype" w:hAnsi="Palatino Linotype" w:cs="Tahoma"/>
              <w:sz w:val="18"/>
              <w:szCs w:val="18"/>
            </w:rPr>
            <w:t>24</w:t>
          </w:r>
        </w:p>
      </w:tc>
    </w:tr>
    <w:tr w:rsidR="003E6B48" w:rsidRPr="00887056" w14:paraId="1BD87A19" w14:textId="77777777">
      <w:trPr>
        <w:trHeight w:val="19"/>
        <w:jc w:val="center"/>
      </w:trPr>
      <w:tc>
        <w:tcPr>
          <w:tcW w:w="2063" w:type="dxa"/>
          <w:vMerge/>
          <w:tcBorders>
            <w:right w:val="single" w:sz="12" w:space="0" w:color="C0C0C0"/>
          </w:tcBorders>
        </w:tcPr>
        <w:p w14:paraId="0B61F598" w14:textId="77777777" w:rsidR="003E6B48" w:rsidRPr="00887056" w:rsidRDefault="003E6B48" w:rsidP="003E6B48">
          <w:pPr>
            <w:rPr>
              <w:rFonts w:ascii="Palatino Linotype" w:hAnsi="Palatino Linotype" w:cs="Tahoma"/>
              <w:sz w:val="18"/>
              <w:szCs w:val="18"/>
            </w:rPr>
          </w:pPr>
        </w:p>
      </w:tc>
      <w:tc>
        <w:tcPr>
          <w:tcW w:w="3126" w:type="dxa"/>
          <w:tcBorders>
            <w:top w:val="single" w:sz="12" w:space="0" w:color="C0C0C0"/>
            <w:left w:val="single" w:sz="12" w:space="0" w:color="C0C0C0"/>
            <w:right w:val="single" w:sz="12" w:space="0" w:color="C0C0C0"/>
          </w:tcBorders>
        </w:tcPr>
        <w:p w14:paraId="4817715B" w14:textId="7A0BD279" w:rsidR="003E6B48" w:rsidRPr="00887056" w:rsidRDefault="003E6B48" w:rsidP="003E6B48">
          <w:pPr>
            <w:rPr>
              <w:rFonts w:ascii="Palatino Linotype" w:hAnsi="Palatino Linotype" w:cs="Tahoma"/>
              <w:sz w:val="18"/>
              <w:szCs w:val="18"/>
            </w:rPr>
          </w:pPr>
          <w:r w:rsidRPr="00887056">
            <w:rPr>
              <w:rFonts w:ascii="Palatino Linotype" w:hAnsi="Palatino Linotype" w:cs="Tahoma"/>
              <w:sz w:val="18"/>
              <w:szCs w:val="18"/>
            </w:rPr>
            <w:t xml:space="preserve">Versión </w:t>
          </w:r>
          <w:r w:rsidR="00D2452A">
            <w:rPr>
              <w:rFonts w:ascii="Palatino Linotype" w:hAnsi="Palatino Linotype" w:cs="Tahoma"/>
              <w:sz w:val="18"/>
              <w:szCs w:val="18"/>
            </w:rPr>
            <w:t>1</w:t>
          </w:r>
        </w:p>
      </w:tc>
      <w:tc>
        <w:tcPr>
          <w:tcW w:w="2979" w:type="dxa"/>
          <w:tcBorders>
            <w:top w:val="single" w:sz="12" w:space="0" w:color="C0C0C0"/>
            <w:left w:val="single" w:sz="12" w:space="0" w:color="C0C0C0"/>
          </w:tcBorders>
        </w:tcPr>
        <w:p w14:paraId="46647F2F" w14:textId="77777777" w:rsidR="003E6B48" w:rsidRPr="00887056" w:rsidRDefault="003E6B48" w:rsidP="003E6B48">
          <w:pPr>
            <w:rPr>
              <w:rFonts w:ascii="Palatino Linotype" w:hAnsi="Palatino Linotype" w:cs="Tahoma"/>
              <w:sz w:val="18"/>
              <w:szCs w:val="18"/>
            </w:rPr>
          </w:pPr>
          <w:r w:rsidRPr="00887056">
            <w:rPr>
              <w:rFonts w:ascii="Palatino Linotype" w:hAnsi="Palatino Linotype" w:cs="Tahoma"/>
              <w:sz w:val="18"/>
              <w:szCs w:val="18"/>
            </w:rPr>
            <w:t>Fecha de última actualización:</w:t>
          </w:r>
        </w:p>
      </w:tc>
      <w:tc>
        <w:tcPr>
          <w:tcW w:w="1783" w:type="dxa"/>
          <w:tcBorders>
            <w:top w:val="single" w:sz="12" w:space="0" w:color="C0C0C0"/>
          </w:tcBorders>
        </w:tcPr>
        <w:p w14:paraId="187000B9" w14:textId="592E54F9" w:rsidR="003E6B48" w:rsidRPr="00887056" w:rsidRDefault="00D2452A" w:rsidP="003E6B48">
          <w:pPr>
            <w:rPr>
              <w:rFonts w:ascii="Palatino Linotype" w:hAnsi="Palatino Linotype" w:cs="Tahoma"/>
              <w:sz w:val="18"/>
              <w:szCs w:val="18"/>
            </w:rPr>
          </w:pPr>
          <w:r>
            <w:rPr>
              <w:rFonts w:ascii="Palatino Linotype" w:hAnsi="Palatino Linotype" w:cs="Tahoma"/>
              <w:sz w:val="18"/>
              <w:szCs w:val="18"/>
            </w:rPr>
            <w:t>10</w:t>
          </w:r>
          <w:r w:rsidR="003E6B48" w:rsidRPr="00887056">
            <w:rPr>
              <w:rFonts w:ascii="Palatino Linotype" w:hAnsi="Palatino Linotype" w:cs="Tahoma"/>
              <w:sz w:val="18"/>
              <w:szCs w:val="18"/>
            </w:rPr>
            <w:t>/</w:t>
          </w:r>
          <w:r>
            <w:rPr>
              <w:rFonts w:ascii="Palatino Linotype" w:hAnsi="Palatino Linotype" w:cs="Tahoma"/>
              <w:sz w:val="18"/>
              <w:szCs w:val="18"/>
            </w:rPr>
            <w:t>07</w:t>
          </w:r>
          <w:r w:rsidR="003E6B48" w:rsidRPr="00887056">
            <w:rPr>
              <w:rFonts w:ascii="Palatino Linotype" w:hAnsi="Palatino Linotype" w:cs="Tahoma"/>
              <w:sz w:val="18"/>
              <w:szCs w:val="18"/>
            </w:rPr>
            <w:t>/</w:t>
          </w:r>
          <w:r w:rsidR="003E6B48">
            <w:rPr>
              <w:rFonts w:ascii="Palatino Linotype" w:hAnsi="Palatino Linotype" w:cs="Tahoma"/>
              <w:sz w:val="18"/>
              <w:szCs w:val="18"/>
            </w:rPr>
            <w:t>202</w:t>
          </w:r>
          <w:r>
            <w:rPr>
              <w:rFonts w:ascii="Palatino Linotype" w:hAnsi="Palatino Linotype" w:cs="Tahoma"/>
              <w:sz w:val="18"/>
              <w:szCs w:val="18"/>
            </w:rPr>
            <w:t>4</w:t>
          </w:r>
        </w:p>
      </w:tc>
    </w:tr>
    <w:bookmarkEnd w:id="4"/>
  </w:tbl>
  <w:p w14:paraId="32AF21FC" w14:textId="77777777" w:rsidR="00C06222" w:rsidRPr="007F00C5" w:rsidRDefault="00C06222" w:rsidP="007F00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036BF9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7F2D57"/>
    <w:multiLevelType w:val="hybridMultilevel"/>
    <w:tmpl w:val="5662531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75952"/>
    <w:multiLevelType w:val="hybridMultilevel"/>
    <w:tmpl w:val="583ED0F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F514C"/>
    <w:multiLevelType w:val="hybridMultilevel"/>
    <w:tmpl w:val="4D4A9D80"/>
    <w:lvl w:ilvl="0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7AC5DE5"/>
    <w:multiLevelType w:val="hybridMultilevel"/>
    <w:tmpl w:val="CC78B1D2"/>
    <w:lvl w:ilvl="0" w:tplc="7C0E93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C628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A09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E46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061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D496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3EA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E6A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D026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693655730">
    <w:abstractNumId w:val="4"/>
  </w:num>
  <w:num w:numId="2" w16cid:durableId="853112003">
    <w:abstractNumId w:val="1"/>
  </w:num>
  <w:num w:numId="3" w16cid:durableId="106042947">
    <w:abstractNumId w:val="3"/>
  </w:num>
  <w:num w:numId="4" w16cid:durableId="2118602028">
    <w:abstractNumId w:val="2"/>
  </w:num>
  <w:num w:numId="5" w16cid:durableId="510098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222"/>
    <w:rsid w:val="0003768F"/>
    <w:rsid w:val="00040924"/>
    <w:rsid w:val="00042C9B"/>
    <w:rsid w:val="00050764"/>
    <w:rsid w:val="00064C4A"/>
    <w:rsid w:val="00072625"/>
    <w:rsid w:val="000A60C8"/>
    <w:rsid w:val="000B5DF7"/>
    <w:rsid w:val="000D3631"/>
    <w:rsid w:val="000D58DF"/>
    <w:rsid w:val="000D6C1B"/>
    <w:rsid w:val="000E4412"/>
    <w:rsid w:val="000F6495"/>
    <w:rsid w:val="000F712E"/>
    <w:rsid w:val="001071D5"/>
    <w:rsid w:val="00125777"/>
    <w:rsid w:val="0013377D"/>
    <w:rsid w:val="00151158"/>
    <w:rsid w:val="00160836"/>
    <w:rsid w:val="001667B5"/>
    <w:rsid w:val="00180EC5"/>
    <w:rsid w:val="0019798A"/>
    <w:rsid w:val="001A6AC8"/>
    <w:rsid w:val="001D3FDF"/>
    <w:rsid w:val="001E163C"/>
    <w:rsid w:val="001E5DFB"/>
    <w:rsid w:val="001E7958"/>
    <w:rsid w:val="002123C4"/>
    <w:rsid w:val="0021642E"/>
    <w:rsid w:val="002233E4"/>
    <w:rsid w:val="002322FE"/>
    <w:rsid w:val="00232B74"/>
    <w:rsid w:val="002505A3"/>
    <w:rsid w:val="0026172F"/>
    <w:rsid w:val="002636FB"/>
    <w:rsid w:val="0029169D"/>
    <w:rsid w:val="002B4A01"/>
    <w:rsid w:val="002E7856"/>
    <w:rsid w:val="003211DA"/>
    <w:rsid w:val="0032183A"/>
    <w:rsid w:val="003273CD"/>
    <w:rsid w:val="00341A41"/>
    <w:rsid w:val="00342DFA"/>
    <w:rsid w:val="00350578"/>
    <w:rsid w:val="00354536"/>
    <w:rsid w:val="00382C16"/>
    <w:rsid w:val="003A243E"/>
    <w:rsid w:val="003B71A0"/>
    <w:rsid w:val="003B7469"/>
    <w:rsid w:val="003E03C6"/>
    <w:rsid w:val="003E6B48"/>
    <w:rsid w:val="003F116D"/>
    <w:rsid w:val="00412643"/>
    <w:rsid w:val="00424DA9"/>
    <w:rsid w:val="004526CD"/>
    <w:rsid w:val="00455378"/>
    <w:rsid w:val="004578D6"/>
    <w:rsid w:val="00470AC7"/>
    <w:rsid w:val="00486841"/>
    <w:rsid w:val="004871A7"/>
    <w:rsid w:val="0048754A"/>
    <w:rsid w:val="004A077E"/>
    <w:rsid w:val="004A1D26"/>
    <w:rsid w:val="004B28F4"/>
    <w:rsid w:val="004B7CC2"/>
    <w:rsid w:val="004C613C"/>
    <w:rsid w:val="004D40DE"/>
    <w:rsid w:val="005304B4"/>
    <w:rsid w:val="0055760C"/>
    <w:rsid w:val="00567D2B"/>
    <w:rsid w:val="00590C8F"/>
    <w:rsid w:val="005E1614"/>
    <w:rsid w:val="005F10D7"/>
    <w:rsid w:val="006414DC"/>
    <w:rsid w:val="00644176"/>
    <w:rsid w:val="006560F6"/>
    <w:rsid w:val="0066330C"/>
    <w:rsid w:val="006641C4"/>
    <w:rsid w:val="00682984"/>
    <w:rsid w:val="00693E9D"/>
    <w:rsid w:val="006A7604"/>
    <w:rsid w:val="006C4CAA"/>
    <w:rsid w:val="006E539E"/>
    <w:rsid w:val="006F0F0F"/>
    <w:rsid w:val="0070159C"/>
    <w:rsid w:val="00724602"/>
    <w:rsid w:val="0073619E"/>
    <w:rsid w:val="00747851"/>
    <w:rsid w:val="00771759"/>
    <w:rsid w:val="0077352D"/>
    <w:rsid w:val="007A5FE8"/>
    <w:rsid w:val="007B10BD"/>
    <w:rsid w:val="007D2698"/>
    <w:rsid w:val="007F00C5"/>
    <w:rsid w:val="007F3707"/>
    <w:rsid w:val="007F54C9"/>
    <w:rsid w:val="008001E1"/>
    <w:rsid w:val="0081063C"/>
    <w:rsid w:val="008521FD"/>
    <w:rsid w:val="00860E7E"/>
    <w:rsid w:val="0089309A"/>
    <w:rsid w:val="008C58F3"/>
    <w:rsid w:val="008F60A7"/>
    <w:rsid w:val="0092660E"/>
    <w:rsid w:val="00933937"/>
    <w:rsid w:val="00936F3C"/>
    <w:rsid w:val="00965CA2"/>
    <w:rsid w:val="00970805"/>
    <w:rsid w:val="00974F31"/>
    <w:rsid w:val="00975FEE"/>
    <w:rsid w:val="00997FC6"/>
    <w:rsid w:val="009C756E"/>
    <w:rsid w:val="009D26ED"/>
    <w:rsid w:val="009E331F"/>
    <w:rsid w:val="00A0020C"/>
    <w:rsid w:val="00A03220"/>
    <w:rsid w:val="00A104FF"/>
    <w:rsid w:val="00A10765"/>
    <w:rsid w:val="00A114C2"/>
    <w:rsid w:val="00A2037F"/>
    <w:rsid w:val="00A2058F"/>
    <w:rsid w:val="00A43CF6"/>
    <w:rsid w:val="00A567C1"/>
    <w:rsid w:val="00A661C8"/>
    <w:rsid w:val="00A665E7"/>
    <w:rsid w:val="00A66700"/>
    <w:rsid w:val="00A72EBE"/>
    <w:rsid w:val="00A75A01"/>
    <w:rsid w:val="00A92894"/>
    <w:rsid w:val="00A9344F"/>
    <w:rsid w:val="00AB619F"/>
    <w:rsid w:val="00AC1280"/>
    <w:rsid w:val="00AC431B"/>
    <w:rsid w:val="00AD4FA5"/>
    <w:rsid w:val="00AE63D3"/>
    <w:rsid w:val="00AE72FF"/>
    <w:rsid w:val="00B122D8"/>
    <w:rsid w:val="00B466C0"/>
    <w:rsid w:val="00B65B86"/>
    <w:rsid w:val="00B730BD"/>
    <w:rsid w:val="00B808FC"/>
    <w:rsid w:val="00B97A9D"/>
    <w:rsid w:val="00BA224E"/>
    <w:rsid w:val="00BB4A06"/>
    <w:rsid w:val="00C06222"/>
    <w:rsid w:val="00C1586A"/>
    <w:rsid w:val="00C202DD"/>
    <w:rsid w:val="00C255DD"/>
    <w:rsid w:val="00C32096"/>
    <w:rsid w:val="00C4475C"/>
    <w:rsid w:val="00C52FAC"/>
    <w:rsid w:val="00C57D3C"/>
    <w:rsid w:val="00C70EBA"/>
    <w:rsid w:val="00C73685"/>
    <w:rsid w:val="00C748F8"/>
    <w:rsid w:val="00C815D1"/>
    <w:rsid w:val="00C9683D"/>
    <w:rsid w:val="00C97B79"/>
    <w:rsid w:val="00CC26EE"/>
    <w:rsid w:val="00CC6B0D"/>
    <w:rsid w:val="00CD50BD"/>
    <w:rsid w:val="00CE1A03"/>
    <w:rsid w:val="00CF35D8"/>
    <w:rsid w:val="00D1238C"/>
    <w:rsid w:val="00D2452A"/>
    <w:rsid w:val="00D32772"/>
    <w:rsid w:val="00D57D24"/>
    <w:rsid w:val="00D65B08"/>
    <w:rsid w:val="00D74370"/>
    <w:rsid w:val="00D82126"/>
    <w:rsid w:val="00D866E7"/>
    <w:rsid w:val="00D90091"/>
    <w:rsid w:val="00DA4461"/>
    <w:rsid w:val="00DA6CA7"/>
    <w:rsid w:val="00E04437"/>
    <w:rsid w:val="00E0475B"/>
    <w:rsid w:val="00E1249A"/>
    <w:rsid w:val="00E173BC"/>
    <w:rsid w:val="00E20AB5"/>
    <w:rsid w:val="00E35D3E"/>
    <w:rsid w:val="00E609EE"/>
    <w:rsid w:val="00E81183"/>
    <w:rsid w:val="00E91123"/>
    <w:rsid w:val="00EB3606"/>
    <w:rsid w:val="00EC1453"/>
    <w:rsid w:val="00ED3BB5"/>
    <w:rsid w:val="00F03D43"/>
    <w:rsid w:val="00F23193"/>
    <w:rsid w:val="00F233EA"/>
    <w:rsid w:val="00F25840"/>
    <w:rsid w:val="00F261DF"/>
    <w:rsid w:val="00F362CA"/>
    <w:rsid w:val="00F64BC3"/>
    <w:rsid w:val="00F6756D"/>
    <w:rsid w:val="00FA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028EC"/>
  <w15:chartTrackingRefBased/>
  <w15:docId w15:val="{D195C229-E247-4AC4-9C65-29182CC2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2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qFormat/>
    <w:rsid w:val="002E7856"/>
    <w:pPr>
      <w:keepNext/>
      <w:jc w:val="center"/>
      <w:outlineLvl w:val="0"/>
    </w:pPr>
    <w:rPr>
      <w:b/>
      <w:snapToGrid w:val="0"/>
      <w:sz w:val="20"/>
      <w:szCs w:val="20"/>
      <w:lang w:val="es-C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222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2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rsid w:val="00C06222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2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0376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4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4B4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C431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C431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EndnoteReference">
    <w:name w:val="endnote reference"/>
    <w:basedOn w:val="DefaultParagraphFont"/>
    <w:uiPriority w:val="99"/>
    <w:semiHidden/>
    <w:unhideWhenUsed/>
    <w:rsid w:val="00AC431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4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431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FootnoteReference">
    <w:name w:val="footnote reference"/>
    <w:basedOn w:val="DefaultParagraphFont"/>
    <w:uiPriority w:val="99"/>
    <w:semiHidden/>
    <w:unhideWhenUsed/>
    <w:rsid w:val="00AC431B"/>
    <w:rPr>
      <w:vertAlign w:val="superscript"/>
    </w:rPr>
  </w:style>
  <w:style w:type="paragraph" w:customStyle="1" w:styleId="MyStile">
    <w:name w:val="My Stile"/>
    <w:basedOn w:val="Normal"/>
    <w:qFormat/>
    <w:rsid w:val="007F00C5"/>
    <w:pPr>
      <w:jc w:val="center"/>
    </w:pPr>
    <w:rPr>
      <w:rFonts w:ascii="Tahoma" w:hAnsi="Tahoma" w:cs="Tahoma"/>
      <w:b/>
      <w:sz w:val="22"/>
      <w:szCs w:val="22"/>
      <w:lang w:val="es-CR" w:eastAsia="en-US"/>
    </w:rPr>
  </w:style>
  <w:style w:type="character" w:customStyle="1" w:styleId="normaltextrun1">
    <w:name w:val="normaltextrun1"/>
    <w:basedOn w:val="DefaultParagraphFont"/>
    <w:rsid w:val="000D3631"/>
  </w:style>
  <w:style w:type="character" w:customStyle="1" w:styleId="eop">
    <w:name w:val="eop"/>
    <w:basedOn w:val="DefaultParagraphFont"/>
    <w:rsid w:val="000D3631"/>
  </w:style>
  <w:style w:type="character" w:styleId="CommentReference">
    <w:name w:val="annotation reference"/>
    <w:basedOn w:val="DefaultParagraphFont"/>
    <w:uiPriority w:val="99"/>
    <w:semiHidden/>
    <w:unhideWhenUsed/>
    <w:rsid w:val="00BA22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22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224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22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224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Heading1Char">
    <w:name w:val="Heading 1 Char"/>
    <w:basedOn w:val="DefaultParagraphFont"/>
    <w:link w:val="Heading1"/>
    <w:rsid w:val="002E7856"/>
    <w:rPr>
      <w:rFonts w:ascii="Times New Roman" w:eastAsia="Times New Roman" w:hAnsi="Times New Roman" w:cs="Times New Roman"/>
      <w:b/>
      <w:snapToGrid w:val="0"/>
      <w:sz w:val="20"/>
      <w:szCs w:val="20"/>
      <w:lang w:eastAsia="es-ES"/>
    </w:rPr>
  </w:style>
  <w:style w:type="table" w:styleId="TableGrid">
    <w:name w:val="Table Grid"/>
    <w:basedOn w:val="TableNormal"/>
    <w:uiPriority w:val="39"/>
    <w:rsid w:val="002E7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2E7856"/>
    <w:pPr>
      <w:spacing w:before="100" w:beforeAutospacing="1" w:after="100" w:afterAutospacing="1"/>
      <w:jc w:val="left"/>
    </w:pPr>
  </w:style>
  <w:style w:type="paragraph" w:styleId="Revision">
    <w:name w:val="Revision"/>
    <w:hidden/>
    <w:uiPriority w:val="99"/>
    <w:semiHidden/>
    <w:rsid w:val="003B7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F233EA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4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AE46E5276BA4458ED59764349F8848" ma:contentTypeVersion="25" ma:contentTypeDescription="Crear nuevo documento." ma:contentTypeScope="" ma:versionID="28cbf70c59a8a528bd1f41f51fd5a96c">
  <xsd:schema xmlns:xsd="http://www.w3.org/2001/XMLSchema" xmlns:xs="http://www.w3.org/2001/XMLSchema" xmlns:p="http://schemas.microsoft.com/office/2006/metadata/properties" xmlns:ns2="a481c175-3de8-4557-8258-60cd90f8d2d2" xmlns:ns3="635f5ac5-4bb3-47f2-b46c-43fce9b9866f" targetNamespace="http://schemas.microsoft.com/office/2006/metadata/properties" ma:root="true" ma:fieldsID="3fbc4e7883cd0c11769ff02915e113f5" ns2:_="" ns3:_="">
    <xsd:import namespace="a481c175-3de8-4557-8258-60cd90f8d2d2"/>
    <xsd:import namespace="635f5ac5-4bb3-47f2-b46c-43fce9b98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Elaborado" minOccurs="0"/>
                <xsd:element ref="ns2:Usuario" minOccurs="0"/>
                <xsd:element ref="ns2:Dirigidoa" minOccurs="0"/>
                <xsd:element ref="ns2:FechayHora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1c175-3de8-4557-8258-60cd90f8d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6" nillable="true" ma:displayName="Estado de aprobación" ma:internalName="_x0024_Resources_x003a_core_x002c_Signoff_Status_x003b_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laborado" ma:index="21" nillable="true" ma:displayName="Elaborado" ma:default="XJ" ma:description="XJ&#10;SB" ma:format="Dropdown" ma:internalName="Elaborado">
      <xsd:simpleType>
        <xsd:restriction base="dms:Text">
          <xsd:maxLength value="255"/>
        </xsd:restriction>
      </xsd:simpleType>
    </xsd:element>
    <xsd:element name="Usuario" ma:index="22" nillable="true" ma:displayName="Usuario" ma:default="JD" ma:format="Dropdown" ma:internalName="Usuario">
      <xsd:simpleType>
        <xsd:restriction base="dms:Text">
          <xsd:maxLength value="255"/>
        </xsd:restriction>
      </xsd:simpleType>
    </xsd:element>
    <xsd:element name="Dirigidoa" ma:index="23" nillable="true" ma:displayName="Dirigido a" ma:default="Junta Directiva" ma:description="Junta Directiva&#10;Dirección General&#10;Comité Administrativo&#10;Dirección Operaciones&#10;Dirección Legal&#10;Dirección TI&#10;Dirección Auditoría" ma:format="Dropdown" ma:internalName="Dirigidoa">
      <xsd:simpleType>
        <xsd:restriction base="dms:Text">
          <xsd:maxLength value="255"/>
        </xsd:restriction>
      </xsd:simpleType>
    </xsd:element>
    <xsd:element name="FechayHora" ma:index="24" nillable="true" ma:displayName="Fecha y Hora" ma:format="DateOnly" ma:internalName="FechayHora">
      <xsd:simpleType>
        <xsd:restriction base="dms:DateTime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Etiquetas de imagen" ma:readOnly="false" ma:fieldId="{5cf76f15-5ced-4ddc-b409-7134ff3c332f}" ma:taxonomyMulti="true" ma:sspId="4f416598-6b00-49af-b47e-268beb6af1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f5ac5-4bb3-47f2-b46c-43fce9b986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059bc31-cef7-4147-9ebf-96c92f8c3599}" ma:internalName="TaxCatchAll" ma:showField="CatchAllData" ma:web="635f5ac5-4bb3-47f2-b46c-43fce9b98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481c175-3de8-4557-8258-60cd90f8d2d2" xsi:nil="true"/>
    <Dirigidoa xmlns="a481c175-3de8-4557-8258-60cd90f8d2d2">Junta Directiva</Dirigidoa>
    <Elaborado xmlns="a481c175-3de8-4557-8258-60cd90f8d2d2">XJ</Elaborado>
    <Usuario xmlns="a481c175-3de8-4557-8258-60cd90f8d2d2">JD</Usuario>
    <FechayHora xmlns="a481c175-3de8-4557-8258-60cd90f8d2d2" xsi:nil="true"/>
    <TaxCatchAll xmlns="635f5ac5-4bb3-47f2-b46c-43fce9b9866f" xsi:nil="true"/>
    <lcf76f155ced4ddcb4097134ff3c332f xmlns="a481c175-3de8-4557-8258-60cd90f8d2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5E4E39-6AB5-4CEC-9758-94FCF90AF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1c175-3de8-4557-8258-60cd90f8d2d2"/>
    <ds:schemaRef ds:uri="635f5ac5-4bb3-47f2-b46c-43fce9b98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A5325D-D414-4151-AB10-FB1177289D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14CFCB-50EC-47CC-986B-DA856016A5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7AC87C-8115-430D-9C91-B9AB52864F46}">
  <ds:schemaRefs>
    <ds:schemaRef ds:uri="http://schemas.microsoft.com/office/2006/metadata/properties"/>
    <ds:schemaRef ds:uri="http://schemas.microsoft.com/office/infopath/2007/PartnerControls"/>
    <ds:schemaRef ds:uri="a481c175-3de8-4557-8258-60cd90f8d2d2"/>
    <ds:schemaRef ds:uri="635f5ac5-4bb3-47f2-b46c-43fce9b986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463</Words>
  <Characters>2550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Bermúdez Jiménez</dc:creator>
  <cp:keywords/>
  <dc:description/>
  <cp:lastModifiedBy>Susana Bermúdez Jiménez</cp:lastModifiedBy>
  <cp:revision>44</cp:revision>
  <cp:lastPrinted>2024-07-12T16:56:00Z</cp:lastPrinted>
  <dcterms:created xsi:type="dcterms:W3CDTF">2024-07-10T20:26:00Z</dcterms:created>
  <dcterms:modified xsi:type="dcterms:W3CDTF">2024-09-04T00:08:00Z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0x01010060AE46E5276BA4458ED59764349F8848</vt:lpwstr>
  </property>
  <property fmtid="{D5CDD505-2E9C-101B-9397-08002B2CF9AE}" pid="3" name="MediaServiceImageTags">
    <vt:lpwstr/>
  </property>
</Properties>
</file>